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2E" w:rsidRPr="0014732E" w:rsidRDefault="0014732E" w:rsidP="0014732E">
      <w:pPr>
        <w:pStyle w:val="Rubrik"/>
        <w:rPr>
          <w:b/>
          <w:sz w:val="52"/>
          <w:szCs w:val="52"/>
        </w:rPr>
      </w:pPr>
      <w:r w:rsidRPr="0014732E">
        <w:rPr>
          <w:b/>
          <w:sz w:val="52"/>
          <w:szCs w:val="52"/>
        </w:rPr>
        <w:t xml:space="preserve">Palliativ vård i livets slutskede vid COVID-19  </w:t>
      </w:r>
    </w:p>
    <w:p w:rsidR="0014732E" w:rsidRDefault="0014732E" w:rsidP="0014732E">
      <w:pPr>
        <w:pStyle w:val="Rubrik1"/>
        <w:rPr>
          <w:rFonts w:ascii="Times New Roman" w:hAnsi="Times New Roman" w:cs="Times New Roman"/>
          <w:sz w:val="24"/>
          <w:szCs w:val="24"/>
        </w:rPr>
      </w:pPr>
      <w:r w:rsidRPr="0014732E">
        <w:rPr>
          <w:rFonts w:ascii="Times New Roman" w:hAnsi="Times New Roman" w:cs="Times New Roman"/>
          <w:sz w:val="24"/>
          <w:szCs w:val="24"/>
        </w:rPr>
        <w:t xml:space="preserve">Christel Hedman, Jonas Bergström, Per Fürst. Stockholms Sjukhem Palliativ vård. Version 2020-03-26 </w:t>
      </w:r>
    </w:p>
    <w:p w:rsidR="0014732E" w:rsidRPr="0014732E" w:rsidRDefault="0014732E" w:rsidP="0014732E"/>
    <w:p w:rsidR="0014732E" w:rsidRDefault="0014732E" w:rsidP="0014732E">
      <w:pPr>
        <w:pStyle w:val="Rubrik1"/>
      </w:pPr>
      <w:r w:rsidRPr="0014732E">
        <w:t>Palliativa vårdens roll</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Palliativ vård, som baseras på helhetssyn och symptomlindring, kompletterar den ordinarie vården och fyller en viktig funktion, inte minst i situationer där patienter inte gagnas av eller kan beredas möjlighet till kurativ behandling, men naturligtvis fortfarande har behov av lindring av besvärande symptom. En mycket viktig komponent i vården är kommunikation med både patienten och med dennes närstående, både för information och beslutsfattande.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I en situation med resursbrist kan patienter komma att bli prioriterade bort från tex IVA-vård och till bästa tillgängliga vård.  Den palliativa vårdens kunskaper kring beslut som gäller behandlingsbegränsning, prioritering och närståendestöd kommer vara av största vikt vid sådana tillfällen.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Familjemedlemmar och övriga anhöriga kan vara begränsade att besöka sjuka personer både på sjukhus och andra institutioner. Anhöriga kan bli involverade vid beslut angående närstående utan att vara närvarande eller ha tillgång till all tillgänglig information. Att hjälpa närstående att förmedla patientens vilja, bibehålla värdighet i vården, koordinera vård mellan olika vårdgivare är en av den palliativa vårdens viktiga funktioner.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Vårdpersonal kommer att hamna i situationer med stress, etisk stress, sorg och frustration. Av största vikt är att personalen också får hjälp att handskas med etisk stress, oro och sorg.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Default="0014732E" w:rsidP="0014732E">
      <w:pPr>
        <w:pStyle w:val="Rubrik1"/>
      </w:pPr>
      <w:r w:rsidRPr="0014732E">
        <w:t xml:space="preserve">Palliativ vård i livets slutskede vid viruspandemi - vad vi vet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I allvarliga fall ger COVID-19 en komplicerad sjukdomsbild med (Zhou et al):  • Acute respiratory distress syndrome (ARDS) • Sepsis/Septisk chock • Multiorgansvikt  • Akut njursvikt • Hjärtsvikt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Default="0014732E" w:rsidP="0014732E">
      <w:pPr>
        <w:pStyle w:val="Rubrik1"/>
      </w:pPr>
      <w:r w:rsidRPr="0014732E">
        <w:t xml:space="preserve">Behandlingsförslag palliativ vård i livets slutskede vid Covid-19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Palliativ vård i livets slutskede förutsätter att alla kurativt syftande åtgärder har prövats eller övervägts och att vårdinriktningen har dokumenterats. Symtomlindring vid palliativ vård i livets slutskede vid COVID-19 förväntas i stort inte skilja sig från annan palliativ vård i livets slutskede.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lastRenderedPageBreak/>
        <w:t xml:space="preserve">Utgå från att patienten hör och förstår allt du säger, även om det inte verkar så. Kommunikation med både patient och närstående är essentiellt.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Användning av subkutan läkemedelspump för administrering kan vara en fördel då det ger bra symtomkontroll och kan frigöra resurser.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Om pump inte är tillgänglig ges läkemedel vid behov enligt nedan. Om symptom kan förutses, tex smärta, kan man också ge subkutana injektioner regelbundet, med fördel med kvarliggande subkutan infart för att slippa upprepa stick.  </w:t>
      </w:r>
    </w:p>
    <w:p w:rsidR="002C7846"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Otillräckligt lindrade symptom i livets slut besvärar både patient, närstående och personal.  </w:t>
      </w:r>
    </w:p>
    <w:p w:rsidR="0014732E" w:rsidRPr="0014732E" w:rsidRDefault="0014732E" w:rsidP="0014732E">
      <w:pPr>
        <w:rPr>
          <w:rFonts w:ascii="Times New Roman" w:hAnsi="Times New Roman" w:cs="Times New Roman"/>
          <w:sz w:val="24"/>
          <w:szCs w:val="24"/>
        </w:rPr>
      </w:pPr>
    </w:p>
    <w:p w:rsidR="0014732E" w:rsidRPr="0014732E" w:rsidRDefault="0014732E" w:rsidP="0014732E">
      <w:pPr>
        <w:rPr>
          <w:rFonts w:ascii="Times New Roman" w:hAnsi="Times New Roman" w:cs="Times New Roman"/>
          <w:sz w:val="24"/>
          <w:szCs w:val="24"/>
        </w:rPr>
      </w:pPr>
      <w:r w:rsidRPr="0014732E">
        <w:rPr>
          <w:rStyle w:val="Rubrik1Char"/>
          <w:rFonts w:ascii="Times New Roman" w:eastAsiaTheme="minorHAnsi" w:hAnsi="Times New Roman" w:cs="Times New Roman"/>
          <w:color w:val="auto"/>
          <w:sz w:val="24"/>
          <w:szCs w:val="24"/>
        </w:rPr>
        <w:t>Angående antiinflammatoriska läkemedels roll i palliativt skede hos Covid-19 positiv patient</w:t>
      </w:r>
      <w:r w:rsidR="002B3958">
        <w:rPr>
          <w:rStyle w:val="Rubrik1Char"/>
          <w:rFonts w:ascii="Times New Roman" w:eastAsiaTheme="minorHAnsi" w:hAnsi="Times New Roman" w:cs="Times New Roman"/>
          <w:color w:val="auto"/>
          <w:sz w:val="24"/>
          <w:szCs w:val="24"/>
        </w:rPr>
        <w:t xml:space="preserve">. </w:t>
      </w:r>
      <w:r w:rsidRPr="0014732E">
        <w:rPr>
          <w:rFonts w:ascii="Times New Roman" w:hAnsi="Times New Roman" w:cs="Times New Roman"/>
          <w:sz w:val="24"/>
          <w:szCs w:val="24"/>
        </w:rPr>
        <w:t xml:space="preserve">Rapporter kring negativ påverkan av NSAID (COX-hämmares) på sjukdomsförloppet finns (Day et al). Även när det gäller kortison finns negativ effekt på sjukdomsförloppet beskrivet (Day et al), men också det motsatta  (Wu et al). När målet med vården övergår till palliativ vård i livets slutskede får eventuella negativa effekter på sjukdomsförloppet anses vara underordnade de vanligtvis goda symtomlindrande effekter som kortison och NSAID (COX-hämmar) kan ge.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14732E" w:rsidRPr="0014732E" w:rsidRDefault="0014732E" w:rsidP="002B3958">
      <w:pPr>
        <w:pStyle w:val="Rubrik1"/>
      </w:pPr>
      <w:r w:rsidRPr="0014732E">
        <w:t xml:space="preserve">Följande symtom kan tänkas vara framträdande vid Covid-19 och förslag på behandlingsstrategier beskrivs nedan. Ytterligare förslag på doser och administrationssätt finns i tabellen nedan.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2B3958" w:rsidRDefault="0014732E" w:rsidP="002B3958">
      <w:pPr>
        <w:pStyle w:val="Rubrik3"/>
      </w:pPr>
      <w:r w:rsidRPr="002B3958">
        <w:t xml:space="preserve">Luftvägsbesvär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Dyspné</w:t>
      </w:r>
      <w:r w:rsidRPr="0014732E">
        <w:rPr>
          <w:rFonts w:ascii="Times New Roman" w:hAnsi="Times New Roman" w:cs="Times New Roman"/>
          <w:sz w:val="24"/>
          <w:szCs w:val="24"/>
        </w:rPr>
        <w:t xml:space="preserve"> - Känslan av att det är svårt att få luft kan förekomma även utan syrgasbrist, dvs med normal saturation. Pröva i första hand parenteral (sc, iv) opioid. Vid samtidig ångest kan en lugnande bensodiazepin (Midazolam) läggas till.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Hypoxi</w:t>
      </w:r>
      <w:r w:rsidRPr="0014732E">
        <w:rPr>
          <w:rFonts w:ascii="Times New Roman" w:hAnsi="Times New Roman" w:cs="Times New Roman"/>
          <w:sz w:val="24"/>
          <w:szCs w:val="24"/>
        </w:rPr>
        <w:t xml:space="preserve"> – Vid hypoxi, framför allt vid saturation under 90%, kan syrgas prövas. Det är då viktigare att följa symptombilden än saturationen då korrelationen mellan hypoxi och upplevd dyspné är låg, vid palliativ vård.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Hjärtsviktssymptom/lungödem</w:t>
      </w:r>
      <w:r w:rsidRPr="0014732E">
        <w:rPr>
          <w:rFonts w:ascii="Times New Roman" w:hAnsi="Times New Roman" w:cs="Times New Roman"/>
          <w:sz w:val="24"/>
          <w:szCs w:val="24"/>
        </w:rPr>
        <w:t xml:space="preserve"> – Vid misstänkt hjärtsvikt ge furosemid, vilket även kan ges subkutant om ingen intravenös infart finns (max 2 ml per injektionsställe). Opioider kan med fördel även användas vid hjärtsviktorsakad dyspné.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Vid behov av stora mängder furosemid för att lindra hjärtsviktsymtom kan en s.c läkemedelspump prövas, se nedan.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Rossel från luftvägarna i livets slut</w:t>
      </w:r>
      <w:r w:rsidRPr="0014732E">
        <w:rPr>
          <w:rFonts w:ascii="Times New Roman" w:hAnsi="Times New Roman" w:cs="Times New Roman"/>
          <w:sz w:val="24"/>
          <w:szCs w:val="24"/>
        </w:rPr>
        <w:t xml:space="preserve"> – Antikolinergika (Buscopan eller Robinul) kan ges för att torka ut luftvägarna och minska rossel.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Patienter med rosslighet från luftvägarna i livets absoluta slutskede verkar inte alltid besväras av detta. Information till närstående och vårdteamet kring detta kan då ofta vara viktigare än att behandla/minska själva rosslet.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lastRenderedPageBreak/>
        <w:t>Segt slem i luftvägar</w:t>
      </w:r>
      <w:r w:rsidRPr="0014732E">
        <w:rPr>
          <w:rFonts w:ascii="Times New Roman" w:hAnsi="Times New Roman" w:cs="Times New Roman"/>
          <w:sz w:val="24"/>
          <w:szCs w:val="24"/>
        </w:rPr>
        <w:t xml:space="preserve"> – Per os kan ges bromhexin eller eventuellt acetylcystein.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Inhalation av koksalt (NaCl) kan prövas, men efter övervägande av eventuell risk för smitta med inhalationsbehandling.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Obstruktivitet</w:t>
      </w:r>
      <w:r w:rsidRPr="0014732E">
        <w:rPr>
          <w:rFonts w:ascii="Times New Roman" w:hAnsi="Times New Roman" w:cs="Times New Roman"/>
          <w:sz w:val="24"/>
          <w:szCs w:val="24"/>
        </w:rPr>
        <w:t xml:space="preserve"> – Bricanyl kan ges subkutant. Inhalation av bronkvidgande läkemedel med mask kan prövas efter övervägande av eventuella risk för smitta med inhalationsbehandling. Spacer kan övervägas. </w:t>
      </w:r>
    </w:p>
    <w:p w:rsidR="0014732E" w:rsidRP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 xml:space="preserve">Kortison </w:t>
      </w:r>
      <w:r w:rsidRPr="0014732E">
        <w:rPr>
          <w:rFonts w:ascii="Times New Roman" w:hAnsi="Times New Roman" w:cs="Times New Roman"/>
          <w:sz w:val="24"/>
          <w:szCs w:val="24"/>
        </w:rPr>
        <w:t xml:space="preserve">är ofta generellt symptomlindrande vid luftvägsbesvär, kan minska inflammatoriska besvär och kan användas i tillägg vid ett flertal olika luftvägssymtom.  </w:t>
      </w:r>
    </w:p>
    <w:p w:rsidR="0014732E" w:rsidRDefault="0014732E" w:rsidP="0014732E">
      <w:pPr>
        <w:rPr>
          <w:rFonts w:ascii="Times New Roman" w:hAnsi="Times New Roman" w:cs="Times New Roman"/>
          <w:sz w:val="24"/>
          <w:szCs w:val="24"/>
        </w:rPr>
      </w:pPr>
      <w:r w:rsidRPr="002B3958">
        <w:rPr>
          <w:rFonts w:ascii="Times New Roman" w:hAnsi="Times New Roman" w:cs="Times New Roman"/>
          <w:b/>
          <w:sz w:val="24"/>
          <w:szCs w:val="24"/>
        </w:rPr>
        <w:t>Hosta</w:t>
      </w:r>
      <w:r w:rsidRPr="0014732E">
        <w:rPr>
          <w:rFonts w:ascii="Times New Roman" w:hAnsi="Times New Roman" w:cs="Times New Roman"/>
          <w:sz w:val="24"/>
          <w:szCs w:val="24"/>
        </w:rPr>
        <w:t xml:space="preserve"> – Oftast är opioid mest effektivt. Om opioid redan används mot dyspné räcker ofta dosen. Annars prövas extra opioid vid behov, doser enligt tabell nedan.  </w:t>
      </w:r>
    </w:p>
    <w:p w:rsidR="002B3958" w:rsidRPr="0014732E" w:rsidRDefault="002B3958" w:rsidP="0014732E">
      <w:pPr>
        <w:rPr>
          <w:rFonts w:ascii="Times New Roman" w:hAnsi="Times New Roman" w:cs="Times New Roman"/>
          <w:sz w:val="24"/>
          <w:szCs w:val="24"/>
        </w:rPr>
      </w:pPr>
    </w:p>
    <w:p w:rsidR="002B3958" w:rsidRDefault="0014732E" w:rsidP="002B3958">
      <w:pPr>
        <w:pStyle w:val="Rubrik3"/>
      </w:pPr>
      <w:r w:rsidRPr="0014732E">
        <w:t xml:space="preserve">Feber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I första hand paracetamol (po/iv/rektalt).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I andra hand NSAID (COX-hämmare). Beakta ökad risk för njurpåverkan i samband med multiorgansvikt. För injektion i första hand Toradol i.v, detta kan även ges subkutant vid avsaknad av intravenös infart. Vid ökad blödningsrisk kan COX-2-hämmaren Dynastat prövas iv, även denna kan ges subkutant. </w:t>
      </w:r>
    </w:p>
    <w:p w:rsid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Kortison kan användas som febernedsättande vid tex tumörfeber och kan prövas som symtomlindrande även vid Covid-19 vid vård i livets slutskede. </w:t>
      </w:r>
    </w:p>
    <w:p w:rsidR="002B3958" w:rsidRPr="0014732E" w:rsidRDefault="002B3958" w:rsidP="002B3958">
      <w:pPr>
        <w:pStyle w:val="Rubrik3"/>
      </w:pPr>
    </w:p>
    <w:p w:rsidR="002B3958" w:rsidRDefault="0014732E" w:rsidP="002B3958">
      <w:pPr>
        <w:pStyle w:val="Rubrik3"/>
      </w:pPr>
      <w:r w:rsidRPr="0014732E">
        <w:t xml:space="preserve">Smärta </w:t>
      </w:r>
    </w:p>
    <w:p w:rsid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Opioider är grundbehandlingen och kan för bättre smärtlindrande effekt ofta med fördel kombineras med paracetamol och NSAID (COX-hämmare).  </w:t>
      </w:r>
    </w:p>
    <w:p w:rsidR="002B3958" w:rsidRPr="0014732E" w:rsidRDefault="002B3958" w:rsidP="002B3958">
      <w:pPr>
        <w:pStyle w:val="Rubrik3"/>
      </w:pPr>
    </w:p>
    <w:p w:rsidR="002B3958" w:rsidRDefault="0014732E" w:rsidP="002B3958">
      <w:pPr>
        <w:pStyle w:val="Rubrik3"/>
      </w:pPr>
      <w:r w:rsidRPr="0014732E">
        <w:t xml:space="preserve">Illamående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Förstahandspreparat är Primperan. Haldol är även detta väl beprövat och studerat vid illamående. När Primperan eller Haldol ej hjälper kan ondansetron prövas. </w:t>
      </w:r>
    </w:p>
    <w:p w:rsid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Kortison, framför allt Betapred/Dexametason, har vid palliativ vård visats hjälpa mot illamående och kan med fördel läggas till. </w:t>
      </w:r>
    </w:p>
    <w:p w:rsidR="002B3958" w:rsidRPr="0014732E" w:rsidRDefault="002B3958" w:rsidP="0014732E">
      <w:pPr>
        <w:rPr>
          <w:rFonts w:ascii="Times New Roman" w:hAnsi="Times New Roman" w:cs="Times New Roman"/>
          <w:sz w:val="24"/>
          <w:szCs w:val="24"/>
        </w:rPr>
      </w:pPr>
    </w:p>
    <w:p w:rsidR="002B3958" w:rsidRDefault="0014732E" w:rsidP="0014732E">
      <w:pPr>
        <w:rPr>
          <w:rStyle w:val="Rubrik3Char"/>
        </w:rPr>
      </w:pPr>
      <w:r w:rsidRPr="002B3958">
        <w:rPr>
          <w:rStyle w:val="Rubrik3Char"/>
        </w:rPr>
        <w:t xml:space="preserve">Delirium/terminalt delirium  </w:t>
      </w:r>
    </w:p>
    <w:p w:rsid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Kan vara svårbehandlat tillstånd. I första hand prövas injektion Haldol i kombination med midazolam. Startdoser enligt nedan, men relativt stora doser kan behövas för att lindra kraftiga orossymptom hos patienter i livets absoluta slutskede. Patientens symptom styr behandlingen. Med fördel används subkutan läkemedelspump, annars ges intermittenta injektioner upp till varje timme.  </w:t>
      </w:r>
    </w:p>
    <w:p w:rsidR="002B3958" w:rsidRPr="0014732E" w:rsidRDefault="002B3958" w:rsidP="0014732E">
      <w:pPr>
        <w:rPr>
          <w:rFonts w:ascii="Times New Roman" w:hAnsi="Times New Roman" w:cs="Times New Roman"/>
          <w:sz w:val="24"/>
          <w:szCs w:val="24"/>
        </w:rPr>
      </w:pPr>
    </w:p>
    <w:p w:rsidR="002B3958" w:rsidRDefault="0014732E" w:rsidP="0014732E">
      <w:pPr>
        <w:rPr>
          <w:rFonts w:ascii="Times New Roman" w:hAnsi="Times New Roman" w:cs="Times New Roman"/>
          <w:sz w:val="24"/>
          <w:szCs w:val="24"/>
        </w:rPr>
      </w:pPr>
      <w:r w:rsidRPr="002B3958">
        <w:rPr>
          <w:rStyle w:val="Rubrik3Char"/>
        </w:rPr>
        <w:lastRenderedPageBreak/>
        <w:t>Tabell läkemedel</w:t>
      </w:r>
      <w:r w:rsidRPr="0014732E">
        <w:rPr>
          <w:rFonts w:ascii="Times New Roman" w:hAnsi="Times New Roman" w:cs="Times New Roman"/>
          <w:sz w:val="24"/>
          <w:szCs w:val="24"/>
        </w:rPr>
        <w:t xml:space="preserve">  </w:t>
      </w:r>
    </w:p>
    <w:tbl>
      <w:tblPr>
        <w:tblStyle w:val="Tabellrutnt"/>
        <w:tblW w:w="0" w:type="auto"/>
        <w:tblLook w:val="04A0" w:firstRow="1" w:lastRow="0" w:firstColumn="1" w:lastColumn="0" w:noHBand="0" w:noVBand="1"/>
      </w:tblPr>
      <w:tblGrid>
        <w:gridCol w:w="2336"/>
        <w:gridCol w:w="2176"/>
        <w:gridCol w:w="1642"/>
        <w:gridCol w:w="1394"/>
        <w:gridCol w:w="1514"/>
      </w:tblGrid>
      <w:tr w:rsidR="002B3958" w:rsidTr="002B3958">
        <w:tc>
          <w:tcPr>
            <w:tcW w:w="1812"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Preparat</w:t>
            </w:r>
          </w:p>
        </w:tc>
        <w:tc>
          <w:tcPr>
            <w:tcW w:w="1812"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Indikation</w:t>
            </w:r>
          </w:p>
        </w:tc>
        <w:tc>
          <w:tcPr>
            <w:tcW w:w="1812"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Peroralt</w:t>
            </w:r>
          </w:p>
        </w:tc>
        <w:tc>
          <w:tcPr>
            <w:tcW w:w="1813"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 xml:space="preserve">  Injektion</w:t>
            </w:r>
          </w:p>
        </w:tc>
        <w:tc>
          <w:tcPr>
            <w:tcW w:w="1813"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Maxdos</w:t>
            </w:r>
          </w:p>
          <w:p w:rsidR="002B3958" w:rsidRPr="002B3958" w:rsidRDefault="002B3958" w:rsidP="0014732E">
            <w:pPr>
              <w:rPr>
                <w:rFonts w:ascii="Times New Roman" w:hAnsi="Times New Roman" w:cs="Times New Roman"/>
                <w:b/>
                <w:sz w:val="24"/>
                <w:szCs w:val="24"/>
              </w:rPr>
            </w:pPr>
          </w:p>
        </w:tc>
      </w:tr>
      <w:tr w:rsidR="002B3958" w:rsidTr="002B3958">
        <w:tc>
          <w:tcPr>
            <w:tcW w:w="1812" w:type="dxa"/>
          </w:tcPr>
          <w:p w:rsidR="002B3958" w:rsidRDefault="002B3958" w:rsidP="0014732E">
            <w:pPr>
              <w:rPr>
                <w:rFonts w:ascii="Times New Roman" w:hAnsi="Times New Roman" w:cs="Times New Roman"/>
                <w:sz w:val="24"/>
                <w:szCs w:val="24"/>
              </w:rPr>
            </w:pPr>
            <w:r w:rsidRPr="002B3958">
              <w:rPr>
                <w:rFonts w:ascii="Times New Roman" w:hAnsi="Times New Roman" w:cs="Times New Roman"/>
                <w:b/>
                <w:sz w:val="24"/>
                <w:szCs w:val="24"/>
              </w:rPr>
              <w:t xml:space="preserve">Morfin </w:t>
            </w:r>
            <w:r w:rsidRPr="0014732E">
              <w:rPr>
                <w:rFonts w:ascii="Times New Roman" w:hAnsi="Times New Roman" w:cs="Times New Roman"/>
                <w:sz w:val="24"/>
                <w:szCs w:val="24"/>
              </w:rPr>
              <w:t>(kortverkande, 4 tim, tabl. 10 mg, inj 10 mg/ml)</w:t>
            </w:r>
          </w:p>
        </w:tc>
        <w:tc>
          <w:tcPr>
            <w:tcW w:w="1812"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Smärta Dyspné</w:t>
            </w:r>
          </w:p>
        </w:tc>
        <w:tc>
          <w:tcPr>
            <w:tcW w:w="1812"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5 - 10 mg vid behov var 4 till 6:e timme (äldre)</w:t>
            </w:r>
          </w:p>
        </w:tc>
        <w:tc>
          <w:tcPr>
            <w:tcW w:w="1813"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2,5 – 5 mg v.b. eller var 4:e till 6:e timme (äldre)</w:t>
            </w:r>
          </w:p>
        </w:tc>
        <w:tc>
          <w:tcPr>
            <w:tcW w:w="1813" w:type="dxa"/>
          </w:tcPr>
          <w:p w:rsidR="002B3958" w:rsidRDefault="002B3958" w:rsidP="002B3958">
            <w:pPr>
              <w:rPr>
                <w:rFonts w:ascii="Times New Roman" w:hAnsi="Times New Roman" w:cs="Times New Roman"/>
                <w:sz w:val="24"/>
                <w:szCs w:val="24"/>
              </w:rPr>
            </w:pPr>
            <w:r w:rsidRPr="0014732E">
              <w:rPr>
                <w:rFonts w:ascii="Times New Roman" w:hAnsi="Times New Roman" w:cs="Times New Roman"/>
                <w:sz w:val="24"/>
                <w:szCs w:val="24"/>
              </w:rPr>
              <w:t xml:space="preserve">Öka med 30 - 50% i taget. Extrados: 1/6 av dygnsdosen </w:t>
            </w:r>
          </w:p>
          <w:p w:rsidR="002B3958" w:rsidRDefault="002B3958" w:rsidP="002B3958">
            <w:pPr>
              <w:rPr>
                <w:rFonts w:ascii="Times New Roman" w:hAnsi="Times New Roman" w:cs="Times New Roman"/>
                <w:sz w:val="24"/>
                <w:szCs w:val="24"/>
              </w:rPr>
            </w:pPr>
          </w:p>
        </w:tc>
      </w:tr>
      <w:tr w:rsidR="002B3958" w:rsidTr="002B3958">
        <w:tc>
          <w:tcPr>
            <w:tcW w:w="1812" w:type="dxa"/>
          </w:tcPr>
          <w:p w:rsidR="002B3958" w:rsidRPr="002B3958" w:rsidRDefault="002B3958" w:rsidP="0014732E">
            <w:pPr>
              <w:rPr>
                <w:rFonts w:ascii="Times New Roman" w:hAnsi="Times New Roman" w:cs="Times New Roman"/>
                <w:b/>
                <w:sz w:val="24"/>
                <w:szCs w:val="24"/>
              </w:rPr>
            </w:pPr>
            <w:r w:rsidRPr="002B3958">
              <w:rPr>
                <w:rFonts w:ascii="Times New Roman" w:hAnsi="Times New Roman" w:cs="Times New Roman"/>
                <w:b/>
                <w:sz w:val="24"/>
                <w:szCs w:val="24"/>
              </w:rPr>
              <w:t>OxyNorm</w:t>
            </w:r>
          </w:p>
        </w:tc>
        <w:tc>
          <w:tcPr>
            <w:tcW w:w="1812"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Smärta Dyspné</w:t>
            </w:r>
          </w:p>
        </w:tc>
        <w:tc>
          <w:tcPr>
            <w:tcW w:w="1812"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5mg vid behov (var 6:e timme)</w:t>
            </w:r>
          </w:p>
          <w:p w:rsidR="002B3958" w:rsidRDefault="002B3958" w:rsidP="0014732E">
            <w:pPr>
              <w:rPr>
                <w:rFonts w:ascii="Times New Roman" w:hAnsi="Times New Roman" w:cs="Times New Roman"/>
                <w:sz w:val="24"/>
                <w:szCs w:val="24"/>
              </w:rPr>
            </w:pPr>
          </w:p>
        </w:tc>
        <w:tc>
          <w:tcPr>
            <w:tcW w:w="1813"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2,5-5 mg vb</w:t>
            </w:r>
          </w:p>
        </w:tc>
        <w:tc>
          <w:tcPr>
            <w:tcW w:w="1813"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Öka med 30 - 50% i taget. Extrados: 1/6 av dygnsdosen</w:t>
            </w:r>
          </w:p>
          <w:p w:rsidR="002B3958" w:rsidRDefault="002B3958" w:rsidP="0014732E">
            <w:pPr>
              <w:rPr>
                <w:rFonts w:ascii="Times New Roman" w:hAnsi="Times New Roman" w:cs="Times New Roman"/>
                <w:sz w:val="24"/>
                <w:szCs w:val="24"/>
              </w:rPr>
            </w:pPr>
          </w:p>
        </w:tc>
      </w:tr>
      <w:tr w:rsidR="002B3958" w:rsidTr="002B3958">
        <w:tc>
          <w:tcPr>
            <w:tcW w:w="1812" w:type="dxa"/>
          </w:tcPr>
          <w:p w:rsidR="002B3958" w:rsidRDefault="002B3958" w:rsidP="0014732E">
            <w:pPr>
              <w:rPr>
                <w:rFonts w:ascii="Times New Roman" w:hAnsi="Times New Roman" w:cs="Times New Roman"/>
                <w:sz w:val="24"/>
                <w:szCs w:val="24"/>
              </w:rPr>
            </w:pPr>
            <w:r w:rsidRPr="002B3958">
              <w:rPr>
                <w:rFonts w:ascii="Times New Roman" w:hAnsi="Times New Roman" w:cs="Times New Roman"/>
                <w:b/>
                <w:sz w:val="24"/>
                <w:szCs w:val="24"/>
              </w:rPr>
              <w:t>Furosemid</w:t>
            </w:r>
            <w:r>
              <w:rPr>
                <w:rFonts w:ascii="Times New Roman" w:hAnsi="Times New Roman" w:cs="Times New Roman"/>
                <w:b/>
                <w:sz w:val="24"/>
                <w:szCs w:val="24"/>
              </w:rPr>
              <w:t xml:space="preserve"> </w:t>
            </w:r>
            <w:r w:rsidRPr="0014732E">
              <w:rPr>
                <w:rFonts w:ascii="Times New Roman" w:hAnsi="Times New Roman" w:cs="Times New Roman"/>
                <w:sz w:val="24"/>
                <w:szCs w:val="24"/>
              </w:rPr>
              <w:t>10 mg/ml</w:t>
            </w:r>
          </w:p>
          <w:p w:rsidR="002B3958" w:rsidRPr="002B3958" w:rsidRDefault="002B3958" w:rsidP="0014732E">
            <w:pPr>
              <w:rPr>
                <w:rFonts w:ascii="Times New Roman" w:hAnsi="Times New Roman" w:cs="Times New Roman"/>
                <w:b/>
                <w:sz w:val="24"/>
                <w:szCs w:val="24"/>
              </w:rPr>
            </w:pPr>
          </w:p>
        </w:tc>
        <w:tc>
          <w:tcPr>
            <w:tcW w:w="1812" w:type="dxa"/>
          </w:tcPr>
          <w:p w:rsidR="002B3958" w:rsidRDefault="002B3958" w:rsidP="0014732E">
            <w:pPr>
              <w:rPr>
                <w:rFonts w:ascii="Times New Roman" w:hAnsi="Times New Roman" w:cs="Times New Roman"/>
                <w:sz w:val="24"/>
                <w:szCs w:val="24"/>
              </w:rPr>
            </w:pPr>
            <w:r w:rsidRPr="0014732E">
              <w:rPr>
                <w:rFonts w:ascii="Times New Roman" w:hAnsi="Times New Roman" w:cs="Times New Roman"/>
                <w:sz w:val="24"/>
                <w:szCs w:val="24"/>
              </w:rPr>
              <w:t>Hjärtsvikt</w:t>
            </w:r>
          </w:p>
        </w:tc>
        <w:tc>
          <w:tcPr>
            <w:tcW w:w="1812" w:type="dxa"/>
          </w:tcPr>
          <w:p w:rsidR="002B3958" w:rsidRDefault="002B3958" w:rsidP="0014732E">
            <w:pPr>
              <w:rPr>
                <w:rFonts w:ascii="Times New Roman" w:hAnsi="Times New Roman" w:cs="Times New Roman"/>
                <w:sz w:val="24"/>
                <w:szCs w:val="24"/>
              </w:rPr>
            </w:pPr>
          </w:p>
        </w:tc>
        <w:tc>
          <w:tcPr>
            <w:tcW w:w="1813" w:type="dxa"/>
          </w:tcPr>
          <w:p w:rsidR="002B3958" w:rsidRDefault="002B3958" w:rsidP="002B3958">
            <w:pPr>
              <w:rPr>
                <w:rFonts w:ascii="Times New Roman" w:hAnsi="Times New Roman" w:cs="Times New Roman"/>
                <w:sz w:val="24"/>
                <w:szCs w:val="24"/>
              </w:rPr>
            </w:pPr>
            <w:r w:rsidRPr="0014732E">
              <w:rPr>
                <w:rFonts w:ascii="Times New Roman" w:hAnsi="Times New Roman" w:cs="Times New Roman"/>
                <w:sz w:val="24"/>
                <w:szCs w:val="24"/>
              </w:rPr>
              <w:t xml:space="preserve">2 - 4 ml sc eller iv </w:t>
            </w:r>
          </w:p>
        </w:tc>
        <w:tc>
          <w:tcPr>
            <w:tcW w:w="1813" w:type="dxa"/>
          </w:tcPr>
          <w:p w:rsidR="002B3958" w:rsidRDefault="002B3958" w:rsidP="002B3958">
            <w:pPr>
              <w:rPr>
                <w:rFonts w:ascii="Times New Roman" w:hAnsi="Times New Roman" w:cs="Times New Roman"/>
                <w:sz w:val="24"/>
                <w:szCs w:val="24"/>
              </w:rPr>
            </w:pPr>
            <w:r w:rsidRPr="0014732E">
              <w:rPr>
                <w:rFonts w:ascii="Times New Roman" w:hAnsi="Times New Roman" w:cs="Times New Roman"/>
                <w:sz w:val="24"/>
                <w:szCs w:val="24"/>
              </w:rPr>
              <w:t>120 mg/dygn i subkutan pump (ev högre doser</w:t>
            </w:r>
            <w:r w:rsidR="007111F5">
              <w:rPr>
                <w:rFonts w:ascii="Times New Roman" w:hAnsi="Times New Roman" w:cs="Times New Roman"/>
                <w:sz w:val="24"/>
                <w:szCs w:val="24"/>
              </w:rPr>
              <w:t>)</w:t>
            </w:r>
          </w:p>
          <w:p w:rsidR="002B3958" w:rsidRDefault="002B3958" w:rsidP="0014732E">
            <w:pPr>
              <w:rPr>
                <w:rFonts w:ascii="Times New Roman" w:hAnsi="Times New Roman" w:cs="Times New Roman"/>
                <w:sz w:val="24"/>
                <w:szCs w:val="24"/>
              </w:rPr>
            </w:pPr>
          </w:p>
        </w:tc>
      </w:tr>
      <w:tr w:rsidR="002B3958" w:rsidTr="002B3958">
        <w:tc>
          <w:tcPr>
            <w:tcW w:w="1812" w:type="dxa"/>
          </w:tcPr>
          <w:p w:rsidR="002B3958" w:rsidRDefault="007111F5" w:rsidP="0014732E">
            <w:pPr>
              <w:rPr>
                <w:rFonts w:ascii="Times New Roman" w:hAnsi="Times New Roman" w:cs="Times New Roman"/>
                <w:sz w:val="24"/>
                <w:szCs w:val="24"/>
              </w:rPr>
            </w:pPr>
            <w:r w:rsidRPr="007111F5">
              <w:rPr>
                <w:rFonts w:ascii="Times New Roman" w:hAnsi="Times New Roman" w:cs="Times New Roman"/>
                <w:b/>
                <w:sz w:val="24"/>
                <w:szCs w:val="24"/>
              </w:rPr>
              <w:t>Robinul</w:t>
            </w:r>
            <w:r>
              <w:rPr>
                <w:rFonts w:ascii="Times New Roman" w:hAnsi="Times New Roman" w:cs="Times New Roman"/>
                <w:sz w:val="24"/>
                <w:szCs w:val="24"/>
              </w:rPr>
              <w:t xml:space="preserve"> </w:t>
            </w:r>
            <w:r w:rsidRPr="0014732E">
              <w:rPr>
                <w:rFonts w:ascii="Times New Roman" w:hAnsi="Times New Roman" w:cs="Times New Roman"/>
                <w:sz w:val="24"/>
                <w:szCs w:val="24"/>
              </w:rPr>
              <w:t>0,2 mg/ml</w:t>
            </w:r>
          </w:p>
        </w:tc>
        <w:tc>
          <w:tcPr>
            <w:tcW w:w="1812"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 xml:space="preserve">Rossel  </w:t>
            </w:r>
          </w:p>
        </w:tc>
        <w:tc>
          <w:tcPr>
            <w:tcW w:w="1812" w:type="dxa"/>
          </w:tcPr>
          <w:p w:rsidR="002B3958" w:rsidRDefault="002B3958" w:rsidP="0014732E">
            <w:pPr>
              <w:rPr>
                <w:rFonts w:ascii="Times New Roman" w:hAnsi="Times New Roman" w:cs="Times New Roman"/>
                <w:sz w:val="24"/>
                <w:szCs w:val="24"/>
              </w:rPr>
            </w:pPr>
          </w:p>
        </w:tc>
        <w:tc>
          <w:tcPr>
            <w:tcW w:w="1813"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1 ml sc vb</w:t>
            </w:r>
          </w:p>
        </w:tc>
        <w:tc>
          <w:tcPr>
            <w:tcW w:w="1813"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0,6-1,2 mg/ dygn</w:t>
            </w:r>
          </w:p>
          <w:p w:rsidR="007111F5" w:rsidRDefault="007111F5" w:rsidP="0014732E">
            <w:pPr>
              <w:rPr>
                <w:rFonts w:ascii="Times New Roman" w:hAnsi="Times New Roman" w:cs="Times New Roman"/>
                <w:sz w:val="24"/>
                <w:szCs w:val="24"/>
              </w:rPr>
            </w:pPr>
          </w:p>
        </w:tc>
      </w:tr>
      <w:tr w:rsidR="002B3958" w:rsidTr="002B3958">
        <w:tc>
          <w:tcPr>
            <w:tcW w:w="1812" w:type="dxa"/>
          </w:tcPr>
          <w:p w:rsidR="002B3958" w:rsidRDefault="007111F5" w:rsidP="0014732E">
            <w:pPr>
              <w:rPr>
                <w:rFonts w:ascii="Times New Roman" w:hAnsi="Times New Roman" w:cs="Times New Roman"/>
                <w:sz w:val="24"/>
                <w:szCs w:val="24"/>
              </w:rPr>
            </w:pPr>
            <w:r w:rsidRPr="007111F5">
              <w:rPr>
                <w:rFonts w:ascii="Times New Roman" w:hAnsi="Times New Roman" w:cs="Times New Roman"/>
                <w:b/>
                <w:sz w:val="24"/>
                <w:szCs w:val="24"/>
              </w:rPr>
              <w:t xml:space="preserve">Buscopan </w:t>
            </w:r>
            <w:r w:rsidRPr="0014732E">
              <w:rPr>
                <w:rFonts w:ascii="Times New Roman" w:hAnsi="Times New Roman" w:cs="Times New Roman"/>
                <w:sz w:val="24"/>
                <w:szCs w:val="24"/>
              </w:rPr>
              <w:t>20 mg/ml</w:t>
            </w:r>
          </w:p>
        </w:tc>
        <w:tc>
          <w:tcPr>
            <w:tcW w:w="1812"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Rossel</w:t>
            </w:r>
          </w:p>
        </w:tc>
        <w:tc>
          <w:tcPr>
            <w:tcW w:w="1812" w:type="dxa"/>
          </w:tcPr>
          <w:p w:rsidR="002B3958" w:rsidRDefault="002B3958" w:rsidP="0014732E">
            <w:pPr>
              <w:rPr>
                <w:rFonts w:ascii="Times New Roman" w:hAnsi="Times New Roman" w:cs="Times New Roman"/>
                <w:sz w:val="24"/>
                <w:szCs w:val="24"/>
              </w:rPr>
            </w:pPr>
          </w:p>
        </w:tc>
        <w:tc>
          <w:tcPr>
            <w:tcW w:w="1813"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1-2 ml sc vid behov</w:t>
            </w:r>
          </w:p>
          <w:p w:rsidR="007111F5" w:rsidRDefault="007111F5" w:rsidP="0014732E">
            <w:pPr>
              <w:rPr>
                <w:rFonts w:ascii="Times New Roman" w:hAnsi="Times New Roman" w:cs="Times New Roman"/>
                <w:sz w:val="24"/>
                <w:szCs w:val="24"/>
              </w:rPr>
            </w:pPr>
          </w:p>
        </w:tc>
        <w:tc>
          <w:tcPr>
            <w:tcW w:w="1813"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 xml:space="preserve">  120 mg/dygn</w:t>
            </w:r>
          </w:p>
        </w:tc>
      </w:tr>
      <w:tr w:rsidR="002B3958" w:rsidTr="002B3958">
        <w:tc>
          <w:tcPr>
            <w:tcW w:w="1812" w:type="dxa"/>
          </w:tcPr>
          <w:p w:rsidR="002B3958" w:rsidRDefault="007111F5" w:rsidP="0014732E">
            <w:pPr>
              <w:rPr>
                <w:rFonts w:ascii="Times New Roman" w:hAnsi="Times New Roman" w:cs="Times New Roman"/>
                <w:sz w:val="24"/>
                <w:szCs w:val="24"/>
              </w:rPr>
            </w:pPr>
            <w:r w:rsidRPr="007111F5">
              <w:rPr>
                <w:rFonts w:ascii="Times New Roman" w:hAnsi="Times New Roman" w:cs="Times New Roman"/>
                <w:b/>
                <w:sz w:val="24"/>
                <w:szCs w:val="24"/>
              </w:rPr>
              <w:t xml:space="preserve">Bricanyl </w:t>
            </w:r>
            <w:r w:rsidRPr="0014732E">
              <w:rPr>
                <w:rFonts w:ascii="Times New Roman" w:hAnsi="Times New Roman" w:cs="Times New Roman"/>
                <w:sz w:val="24"/>
                <w:szCs w:val="24"/>
              </w:rPr>
              <w:t>0,5 mg/ml</w:t>
            </w:r>
          </w:p>
          <w:p w:rsidR="0097112B" w:rsidRDefault="0097112B" w:rsidP="0014732E">
            <w:pPr>
              <w:rPr>
                <w:rFonts w:ascii="Times New Roman" w:hAnsi="Times New Roman" w:cs="Times New Roman"/>
                <w:sz w:val="24"/>
                <w:szCs w:val="24"/>
              </w:rPr>
            </w:pPr>
          </w:p>
        </w:tc>
        <w:tc>
          <w:tcPr>
            <w:tcW w:w="1812" w:type="dxa"/>
          </w:tcPr>
          <w:p w:rsidR="002B3958" w:rsidRDefault="007111F5" w:rsidP="0014732E">
            <w:pPr>
              <w:rPr>
                <w:rFonts w:ascii="Times New Roman" w:hAnsi="Times New Roman" w:cs="Times New Roman"/>
                <w:sz w:val="24"/>
                <w:szCs w:val="24"/>
              </w:rPr>
            </w:pPr>
            <w:r w:rsidRPr="0014732E">
              <w:rPr>
                <w:rFonts w:ascii="Times New Roman" w:hAnsi="Times New Roman" w:cs="Times New Roman"/>
                <w:sz w:val="24"/>
                <w:szCs w:val="24"/>
              </w:rPr>
              <w:t>Obstruktivitet</w:t>
            </w:r>
          </w:p>
        </w:tc>
        <w:tc>
          <w:tcPr>
            <w:tcW w:w="1812" w:type="dxa"/>
          </w:tcPr>
          <w:p w:rsidR="002B3958" w:rsidRDefault="002B3958" w:rsidP="0014732E">
            <w:pPr>
              <w:rPr>
                <w:rFonts w:ascii="Times New Roman" w:hAnsi="Times New Roman" w:cs="Times New Roman"/>
                <w:sz w:val="24"/>
                <w:szCs w:val="24"/>
              </w:rPr>
            </w:pPr>
          </w:p>
        </w:tc>
        <w:tc>
          <w:tcPr>
            <w:tcW w:w="1813" w:type="dxa"/>
          </w:tcPr>
          <w:p w:rsidR="007111F5" w:rsidRPr="0014732E" w:rsidRDefault="0097112B" w:rsidP="007111F5">
            <w:pPr>
              <w:rPr>
                <w:rFonts w:ascii="Times New Roman" w:hAnsi="Times New Roman" w:cs="Times New Roman"/>
                <w:sz w:val="24"/>
                <w:szCs w:val="24"/>
              </w:rPr>
            </w:pPr>
            <w:r>
              <w:rPr>
                <w:rFonts w:ascii="Times New Roman" w:hAnsi="Times New Roman" w:cs="Times New Roman"/>
                <w:sz w:val="24"/>
                <w:szCs w:val="24"/>
              </w:rPr>
              <w:t xml:space="preserve"> </w:t>
            </w:r>
            <w:r w:rsidR="007111F5" w:rsidRPr="0014732E">
              <w:rPr>
                <w:rFonts w:ascii="Times New Roman" w:hAnsi="Times New Roman" w:cs="Times New Roman"/>
                <w:sz w:val="24"/>
                <w:szCs w:val="24"/>
              </w:rPr>
              <w:t xml:space="preserve">0,5 - 1 ml sc vb </w:t>
            </w:r>
          </w:p>
          <w:p w:rsidR="002B3958" w:rsidRDefault="002B3958" w:rsidP="0014732E">
            <w:pPr>
              <w:rPr>
                <w:rFonts w:ascii="Times New Roman" w:hAnsi="Times New Roman" w:cs="Times New Roman"/>
                <w:sz w:val="24"/>
                <w:szCs w:val="24"/>
              </w:rPr>
            </w:pPr>
          </w:p>
        </w:tc>
        <w:tc>
          <w:tcPr>
            <w:tcW w:w="1813" w:type="dxa"/>
          </w:tcPr>
          <w:p w:rsidR="002B3958" w:rsidRDefault="002B3958" w:rsidP="0014732E">
            <w:pPr>
              <w:rPr>
                <w:rFonts w:ascii="Times New Roman" w:hAnsi="Times New Roman" w:cs="Times New Roman"/>
                <w:sz w:val="24"/>
                <w:szCs w:val="24"/>
              </w:rPr>
            </w:pPr>
          </w:p>
        </w:tc>
      </w:tr>
      <w:tr w:rsidR="002B3958" w:rsidTr="002B3958">
        <w:tc>
          <w:tcPr>
            <w:tcW w:w="1812" w:type="dxa"/>
          </w:tcPr>
          <w:p w:rsidR="002B3958" w:rsidRDefault="0097112B" w:rsidP="0014732E">
            <w:pPr>
              <w:rPr>
                <w:rFonts w:ascii="Times New Roman" w:hAnsi="Times New Roman" w:cs="Times New Roman"/>
                <w:sz w:val="24"/>
                <w:szCs w:val="24"/>
              </w:rPr>
            </w:pPr>
            <w:r w:rsidRPr="0097112B">
              <w:rPr>
                <w:rFonts w:ascii="Times New Roman" w:hAnsi="Times New Roman" w:cs="Times New Roman"/>
                <w:b/>
                <w:sz w:val="24"/>
                <w:szCs w:val="24"/>
              </w:rPr>
              <w:t>Betapred</w:t>
            </w:r>
            <w:r w:rsidRPr="0014732E">
              <w:rPr>
                <w:rFonts w:ascii="Times New Roman" w:hAnsi="Times New Roman" w:cs="Times New Roman"/>
                <w:sz w:val="24"/>
                <w:szCs w:val="24"/>
              </w:rPr>
              <w:t xml:space="preserve"> (tabl 0,5 mg; inj 4 mg/ml)</w:t>
            </w:r>
          </w:p>
          <w:p w:rsidR="0097112B" w:rsidRDefault="0097112B" w:rsidP="0014732E">
            <w:pPr>
              <w:rPr>
                <w:rFonts w:ascii="Times New Roman" w:hAnsi="Times New Roman" w:cs="Times New Roman"/>
                <w:sz w:val="24"/>
                <w:szCs w:val="24"/>
              </w:rPr>
            </w:pPr>
          </w:p>
        </w:tc>
        <w:tc>
          <w:tcPr>
            <w:tcW w:w="1812" w:type="dxa"/>
          </w:tcPr>
          <w:p w:rsidR="002B3958"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Antiinflammatoriskt Feber Smärta Luftvägsbesvär Illamående</w:t>
            </w:r>
          </w:p>
          <w:p w:rsidR="0097112B" w:rsidRDefault="0097112B" w:rsidP="0014732E">
            <w:pPr>
              <w:rPr>
                <w:rFonts w:ascii="Times New Roman" w:hAnsi="Times New Roman" w:cs="Times New Roman"/>
                <w:sz w:val="24"/>
                <w:szCs w:val="24"/>
              </w:rPr>
            </w:pPr>
          </w:p>
        </w:tc>
        <w:tc>
          <w:tcPr>
            <w:tcW w:w="1812" w:type="dxa"/>
          </w:tcPr>
          <w:p w:rsidR="002B3958"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 xml:space="preserve">8 - 16 tabletter/dygn  </w:t>
            </w:r>
          </w:p>
        </w:tc>
        <w:tc>
          <w:tcPr>
            <w:tcW w:w="1813" w:type="dxa"/>
          </w:tcPr>
          <w:p w:rsidR="002B3958"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1 - 2 ml/dygn</w:t>
            </w: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16 mg  </w:t>
            </w:r>
          </w:p>
          <w:p w:rsidR="002B3958" w:rsidRDefault="002B3958" w:rsidP="0014732E">
            <w:pPr>
              <w:rPr>
                <w:rFonts w:ascii="Times New Roman" w:hAnsi="Times New Roman" w:cs="Times New Roman"/>
                <w:sz w:val="24"/>
                <w:szCs w:val="24"/>
              </w:rPr>
            </w:pPr>
          </w:p>
        </w:tc>
      </w:tr>
      <w:tr w:rsidR="0097112B" w:rsidTr="002B3958">
        <w:tc>
          <w:tcPr>
            <w:tcW w:w="1812" w:type="dxa"/>
          </w:tcPr>
          <w:p w:rsidR="0097112B" w:rsidRDefault="0097112B" w:rsidP="0014732E">
            <w:pPr>
              <w:rPr>
                <w:rFonts w:ascii="Times New Roman" w:hAnsi="Times New Roman" w:cs="Times New Roman"/>
                <w:sz w:val="24"/>
                <w:szCs w:val="24"/>
              </w:rPr>
            </w:pPr>
            <w:r w:rsidRPr="0097112B">
              <w:rPr>
                <w:rFonts w:ascii="Times New Roman" w:hAnsi="Times New Roman" w:cs="Times New Roman"/>
                <w:b/>
                <w:sz w:val="24"/>
                <w:szCs w:val="24"/>
              </w:rPr>
              <w:t>Toradol</w:t>
            </w:r>
            <w:r w:rsidRPr="0014732E">
              <w:rPr>
                <w:rFonts w:ascii="Times New Roman" w:hAnsi="Times New Roman" w:cs="Times New Roman"/>
                <w:sz w:val="24"/>
                <w:szCs w:val="24"/>
              </w:rPr>
              <w:t xml:space="preserve"> 30 mg/ml</w:t>
            </w:r>
          </w:p>
          <w:p w:rsidR="0097112B" w:rsidRDefault="0097112B" w:rsidP="0014732E">
            <w:pPr>
              <w:rPr>
                <w:rFonts w:ascii="Times New Roman" w:hAnsi="Times New Roman" w:cs="Times New Roman"/>
                <w:sz w:val="24"/>
                <w:szCs w:val="24"/>
              </w:rPr>
            </w:pPr>
          </w:p>
        </w:tc>
        <w:tc>
          <w:tcPr>
            <w:tcW w:w="1812"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Antiinflammatoriskt Feber Smärta </w:t>
            </w:r>
          </w:p>
          <w:p w:rsidR="0097112B" w:rsidRDefault="0097112B" w:rsidP="0014732E">
            <w:pPr>
              <w:rPr>
                <w:rFonts w:ascii="Times New Roman" w:hAnsi="Times New Roman" w:cs="Times New Roman"/>
                <w:sz w:val="24"/>
                <w:szCs w:val="24"/>
              </w:rPr>
            </w:pPr>
          </w:p>
        </w:tc>
        <w:tc>
          <w:tcPr>
            <w:tcW w:w="1812" w:type="dxa"/>
          </w:tcPr>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15 - 30 mg sc eller iv vb </w:t>
            </w:r>
          </w:p>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90 mg/dygn </w:t>
            </w:r>
          </w:p>
          <w:p w:rsidR="0097112B" w:rsidRDefault="0097112B" w:rsidP="0014732E">
            <w:pPr>
              <w:rPr>
                <w:rFonts w:ascii="Times New Roman" w:hAnsi="Times New Roman" w:cs="Times New Roman"/>
                <w:sz w:val="24"/>
                <w:szCs w:val="24"/>
              </w:rPr>
            </w:pPr>
          </w:p>
        </w:tc>
      </w:tr>
      <w:tr w:rsidR="0097112B" w:rsidTr="002B3958">
        <w:tc>
          <w:tcPr>
            <w:tcW w:w="1812" w:type="dxa"/>
          </w:tcPr>
          <w:p w:rsidR="0097112B" w:rsidRPr="0014732E" w:rsidRDefault="0097112B" w:rsidP="0097112B">
            <w:pPr>
              <w:rPr>
                <w:rFonts w:ascii="Times New Roman" w:hAnsi="Times New Roman" w:cs="Times New Roman"/>
                <w:sz w:val="24"/>
                <w:szCs w:val="24"/>
              </w:rPr>
            </w:pPr>
            <w:r w:rsidRPr="0097112B">
              <w:rPr>
                <w:rFonts w:ascii="Times New Roman" w:hAnsi="Times New Roman" w:cs="Times New Roman"/>
                <w:b/>
                <w:sz w:val="24"/>
                <w:szCs w:val="24"/>
              </w:rPr>
              <w:t>Dynastat</w:t>
            </w:r>
            <w:r w:rsidRPr="0014732E">
              <w:rPr>
                <w:rFonts w:ascii="Times New Roman" w:hAnsi="Times New Roman" w:cs="Times New Roman"/>
                <w:sz w:val="24"/>
                <w:szCs w:val="24"/>
              </w:rPr>
              <w:t xml:space="preserve"> 40 mg/ml (vid blödningsbenägenhet) </w:t>
            </w:r>
          </w:p>
          <w:p w:rsidR="0097112B" w:rsidRDefault="0097112B" w:rsidP="0014732E">
            <w:pPr>
              <w:rPr>
                <w:rFonts w:ascii="Times New Roman" w:hAnsi="Times New Roman" w:cs="Times New Roman"/>
                <w:sz w:val="24"/>
                <w:szCs w:val="24"/>
              </w:rPr>
            </w:pPr>
          </w:p>
        </w:tc>
        <w:tc>
          <w:tcPr>
            <w:tcW w:w="1812"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Antiinflammatoriskt Feber Smärta </w:t>
            </w:r>
          </w:p>
          <w:p w:rsidR="0097112B" w:rsidRDefault="0097112B" w:rsidP="0014732E">
            <w:pPr>
              <w:rPr>
                <w:rFonts w:ascii="Times New Roman" w:hAnsi="Times New Roman" w:cs="Times New Roman"/>
                <w:sz w:val="24"/>
                <w:szCs w:val="24"/>
              </w:rPr>
            </w:pPr>
          </w:p>
        </w:tc>
        <w:tc>
          <w:tcPr>
            <w:tcW w:w="1812" w:type="dxa"/>
          </w:tcPr>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20 – 40 mg vb </w:t>
            </w:r>
          </w:p>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80 mg </w:t>
            </w:r>
          </w:p>
          <w:p w:rsidR="0097112B" w:rsidRDefault="0097112B" w:rsidP="0014732E">
            <w:pPr>
              <w:rPr>
                <w:rFonts w:ascii="Times New Roman" w:hAnsi="Times New Roman" w:cs="Times New Roman"/>
                <w:sz w:val="24"/>
                <w:szCs w:val="24"/>
              </w:rPr>
            </w:pPr>
          </w:p>
        </w:tc>
      </w:tr>
      <w:tr w:rsidR="0097112B" w:rsidTr="002B3958">
        <w:tc>
          <w:tcPr>
            <w:tcW w:w="1812" w:type="dxa"/>
          </w:tcPr>
          <w:p w:rsidR="0097112B" w:rsidRPr="0014732E" w:rsidRDefault="0097112B" w:rsidP="0097112B">
            <w:pPr>
              <w:rPr>
                <w:rFonts w:ascii="Times New Roman" w:hAnsi="Times New Roman" w:cs="Times New Roman"/>
                <w:sz w:val="24"/>
                <w:szCs w:val="24"/>
              </w:rPr>
            </w:pPr>
            <w:r w:rsidRPr="0097112B">
              <w:rPr>
                <w:rFonts w:ascii="Times New Roman" w:hAnsi="Times New Roman" w:cs="Times New Roman"/>
                <w:b/>
                <w:sz w:val="24"/>
                <w:szCs w:val="24"/>
              </w:rPr>
              <w:t xml:space="preserve">Haldol </w:t>
            </w:r>
            <w:r w:rsidRPr="0014732E">
              <w:rPr>
                <w:rFonts w:ascii="Times New Roman" w:hAnsi="Times New Roman" w:cs="Times New Roman"/>
                <w:sz w:val="24"/>
                <w:szCs w:val="24"/>
              </w:rPr>
              <w:t xml:space="preserve">(tabl 1 mg; 5 mg/ml) </w:t>
            </w:r>
          </w:p>
          <w:p w:rsidR="0097112B" w:rsidRDefault="0097112B" w:rsidP="0014732E">
            <w:pPr>
              <w:rPr>
                <w:rFonts w:ascii="Times New Roman" w:hAnsi="Times New Roman" w:cs="Times New Roman"/>
                <w:sz w:val="24"/>
                <w:szCs w:val="24"/>
              </w:rPr>
            </w:pPr>
          </w:p>
        </w:tc>
        <w:tc>
          <w:tcPr>
            <w:tcW w:w="1812"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Förvirring Illamående </w:t>
            </w:r>
          </w:p>
          <w:p w:rsidR="0097112B" w:rsidRDefault="0097112B" w:rsidP="0014732E">
            <w:pPr>
              <w:rPr>
                <w:rFonts w:ascii="Times New Roman" w:hAnsi="Times New Roman" w:cs="Times New Roman"/>
                <w:sz w:val="24"/>
                <w:szCs w:val="24"/>
              </w:rPr>
            </w:pPr>
          </w:p>
        </w:tc>
        <w:tc>
          <w:tcPr>
            <w:tcW w:w="1812" w:type="dxa"/>
          </w:tcPr>
          <w:p w:rsidR="0097112B"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 xml:space="preserve">0,5 – 1 mg x 2  </w:t>
            </w: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0,25 - 0,5 ml sc vb </w:t>
            </w:r>
          </w:p>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10 mg/dygn </w:t>
            </w:r>
          </w:p>
          <w:p w:rsidR="0097112B" w:rsidRDefault="0097112B" w:rsidP="0014732E">
            <w:pPr>
              <w:rPr>
                <w:rFonts w:ascii="Times New Roman" w:hAnsi="Times New Roman" w:cs="Times New Roman"/>
                <w:sz w:val="24"/>
                <w:szCs w:val="24"/>
              </w:rPr>
            </w:pPr>
          </w:p>
        </w:tc>
      </w:tr>
      <w:tr w:rsidR="0097112B" w:rsidTr="002B3958">
        <w:tc>
          <w:tcPr>
            <w:tcW w:w="1812" w:type="dxa"/>
          </w:tcPr>
          <w:p w:rsidR="0097112B" w:rsidRDefault="0097112B" w:rsidP="0097112B">
            <w:pPr>
              <w:rPr>
                <w:rFonts w:ascii="Times New Roman" w:hAnsi="Times New Roman" w:cs="Times New Roman"/>
                <w:sz w:val="24"/>
                <w:szCs w:val="24"/>
              </w:rPr>
            </w:pPr>
            <w:r w:rsidRPr="0097112B">
              <w:rPr>
                <w:rFonts w:ascii="Times New Roman" w:hAnsi="Times New Roman" w:cs="Times New Roman"/>
                <w:b/>
                <w:sz w:val="24"/>
                <w:szCs w:val="24"/>
              </w:rPr>
              <w:t xml:space="preserve">Midazolam </w:t>
            </w:r>
            <w:r w:rsidRPr="0014732E">
              <w:rPr>
                <w:rFonts w:ascii="Times New Roman" w:hAnsi="Times New Roman" w:cs="Times New Roman"/>
                <w:sz w:val="24"/>
                <w:szCs w:val="24"/>
              </w:rPr>
              <w:t>5 mg/ml</w:t>
            </w:r>
          </w:p>
          <w:p w:rsidR="0097112B" w:rsidRDefault="0097112B" w:rsidP="0097112B">
            <w:pPr>
              <w:rPr>
                <w:rFonts w:ascii="Times New Roman" w:hAnsi="Times New Roman" w:cs="Times New Roman"/>
                <w:sz w:val="24"/>
                <w:szCs w:val="24"/>
              </w:rPr>
            </w:pPr>
          </w:p>
        </w:tc>
        <w:tc>
          <w:tcPr>
            <w:tcW w:w="1812" w:type="dxa"/>
          </w:tcPr>
          <w:p w:rsidR="0097112B"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 xml:space="preserve">Ångest, oro  </w:t>
            </w:r>
          </w:p>
        </w:tc>
        <w:tc>
          <w:tcPr>
            <w:tcW w:w="1812" w:type="dxa"/>
          </w:tcPr>
          <w:p w:rsidR="0097112B" w:rsidRDefault="0097112B"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0,25-0,5 ml sc vb  </w:t>
            </w:r>
          </w:p>
          <w:p w:rsidR="0097112B" w:rsidRDefault="0097112B" w:rsidP="0014732E">
            <w:pPr>
              <w:rPr>
                <w:rFonts w:ascii="Times New Roman" w:hAnsi="Times New Roman" w:cs="Times New Roman"/>
                <w:sz w:val="24"/>
                <w:szCs w:val="24"/>
              </w:rPr>
            </w:pPr>
          </w:p>
        </w:tc>
        <w:tc>
          <w:tcPr>
            <w:tcW w:w="1813" w:type="dxa"/>
          </w:tcPr>
          <w:p w:rsidR="0097112B" w:rsidRDefault="0097112B" w:rsidP="0014732E">
            <w:pPr>
              <w:rPr>
                <w:rFonts w:ascii="Times New Roman" w:hAnsi="Times New Roman" w:cs="Times New Roman"/>
                <w:sz w:val="24"/>
                <w:szCs w:val="24"/>
              </w:rPr>
            </w:pPr>
          </w:p>
        </w:tc>
      </w:tr>
      <w:tr w:rsidR="007111F5" w:rsidTr="002B3958">
        <w:tc>
          <w:tcPr>
            <w:tcW w:w="1812" w:type="dxa"/>
          </w:tcPr>
          <w:p w:rsidR="007111F5" w:rsidRDefault="0097112B" w:rsidP="0014732E">
            <w:pPr>
              <w:rPr>
                <w:rFonts w:ascii="Times New Roman" w:hAnsi="Times New Roman" w:cs="Times New Roman"/>
                <w:sz w:val="24"/>
                <w:szCs w:val="24"/>
              </w:rPr>
            </w:pPr>
            <w:r w:rsidRPr="0097112B">
              <w:rPr>
                <w:rFonts w:ascii="Times New Roman" w:hAnsi="Times New Roman" w:cs="Times New Roman"/>
                <w:b/>
                <w:sz w:val="24"/>
                <w:szCs w:val="24"/>
              </w:rPr>
              <w:lastRenderedPageBreak/>
              <w:t>Primperan</w:t>
            </w:r>
            <w:r w:rsidRPr="0014732E">
              <w:rPr>
                <w:rFonts w:ascii="Times New Roman" w:hAnsi="Times New Roman" w:cs="Times New Roman"/>
                <w:sz w:val="24"/>
                <w:szCs w:val="24"/>
              </w:rPr>
              <w:t xml:space="preserve"> 5mg/ml</w:t>
            </w:r>
          </w:p>
          <w:p w:rsidR="0097112B" w:rsidRDefault="0097112B" w:rsidP="0014732E">
            <w:pPr>
              <w:rPr>
                <w:rFonts w:ascii="Times New Roman" w:hAnsi="Times New Roman" w:cs="Times New Roman"/>
                <w:sz w:val="24"/>
                <w:szCs w:val="24"/>
              </w:rPr>
            </w:pPr>
          </w:p>
        </w:tc>
        <w:tc>
          <w:tcPr>
            <w:tcW w:w="1812" w:type="dxa"/>
          </w:tcPr>
          <w:p w:rsidR="007111F5"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Illamående</w:t>
            </w:r>
          </w:p>
        </w:tc>
        <w:tc>
          <w:tcPr>
            <w:tcW w:w="1812" w:type="dxa"/>
          </w:tcPr>
          <w:p w:rsidR="007111F5"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10mgx3</w:t>
            </w: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1-2ml sc,iv vb  </w:t>
            </w:r>
          </w:p>
          <w:p w:rsidR="007111F5" w:rsidRDefault="007111F5"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30-60mg/dygn </w:t>
            </w:r>
          </w:p>
          <w:p w:rsidR="007111F5" w:rsidRDefault="007111F5" w:rsidP="0014732E">
            <w:pPr>
              <w:rPr>
                <w:rFonts w:ascii="Times New Roman" w:hAnsi="Times New Roman" w:cs="Times New Roman"/>
                <w:sz w:val="24"/>
                <w:szCs w:val="24"/>
              </w:rPr>
            </w:pPr>
          </w:p>
        </w:tc>
      </w:tr>
      <w:tr w:rsidR="007111F5" w:rsidTr="002B3958">
        <w:tc>
          <w:tcPr>
            <w:tcW w:w="1812" w:type="dxa"/>
          </w:tcPr>
          <w:p w:rsidR="007111F5" w:rsidRDefault="0097112B" w:rsidP="0014732E">
            <w:pPr>
              <w:rPr>
                <w:rFonts w:ascii="Times New Roman" w:hAnsi="Times New Roman" w:cs="Times New Roman"/>
                <w:sz w:val="24"/>
                <w:szCs w:val="24"/>
              </w:rPr>
            </w:pPr>
            <w:r w:rsidRPr="0097112B">
              <w:rPr>
                <w:rFonts w:ascii="Times New Roman" w:hAnsi="Times New Roman" w:cs="Times New Roman"/>
                <w:b/>
                <w:sz w:val="24"/>
                <w:szCs w:val="24"/>
              </w:rPr>
              <w:t xml:space="preserve">Ondansetron </w:t>
            </w:r>
            <w:r w:rsidRPr="0014732E">
              <w:rPr>
                <w:rFonts w:ascii="Times New Roman" w:hAnsi="Times New Roman" w:cs="Times New Roman"/>
                <w:sz w:val="24"/>
                <w:szCs w:val="24"/>
              </w:rPr>
              <w:t>2mg/ml</w:t>
            </w:r>
          </w:p>
          <w:p w:rsidR="0097112B" w:rsidRDefault="0097112B" w:rsidP="0014732E">
            <w:pPr>
              <w:rPr>
                <w:rFonts w:ascii="Times New Roman" w:hAnsi="Times New Roman" w:cs="Times New Roman"/>
                <w:sz w:val="24"/>
                <w:szCs w:val="24"/>
              </w:rPr>
            </w:pPr>
          </w:p>
        </w:tc>
        <w:tc>
          <w:tcPr>
            <w:tcW w:w="1812" w:type="dxa"/>
          </w:tcPr>
          <w:p w:rsidR="007111F5"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Illamående</w:t>
            </w:r>
          </w:p>
        </w:tc>
        <w:tc>
          <w:tcPr>
            <w:tcW w:w="1812" w:type="dxa"/>
          </w:tcPr>
          <w:p w:rsidR="007111F5" w:rsidRDefault="0097112B" w:rsidP="0014732E">
            <w:pPr>
              <w:rPr>
                <w:rFonts w:ascii="Times New Roman" w:hAnsi="Times New Roman" w:cs="Times New Roman"/>
                <w:sz w:val="24"/>
                <w:szCs w:val="24"/>
              </w:rPr>
            </w:pPr>
            <w:r w:rsidRPr="0014732E">
              <w:rPr>
                <w:rFonts w:ascii="Times New Roman" w:hAnsi="Times New Roman" w:cs="Times New Roman"/>
                <w:sz w:val="24"/>
                <w:szCs w:val="24"/>
              </w:rPr>
              <w:t>4-8mgx1</w:t>
            </w: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1-4ml s.c,iv vb </w:t>
            </w:r>
          </w:p>
          <w:p w:rsidR="007111F5" w:rsidRDefault="007111F5" w:rsidP="0014732E">
            <w:pPr>
              <w:rPr>
                <w:rFonts w:ascii="Times New Roman" w:hAnsi="Times New Roman" w:cs="Times New Roman"/>
                <w:sz w:val="24"/>
                <w:szCs w:val="24"/>
              </w:rPr>
            </w:pPr>
          </w:p>
        </w:tc>
        <w:tc>
          <w:tcPr>
            <w:tcW w:w="1813" w:type="dxa"/>
          </w:tcPr>
          <w:p w:rsidR="0097112B" w:rsidRPr="0014732E" w:rsidRDefault="0097112B" w:rsidP="0097112B">
            <w:pPr>
              <w:rPr>
                <w:rFonts w:ascii="Times New Roman" w:hAnsi="Times New Roman" w:cs="Times New Roman"/>
                <w:sz w:val="24"/>
                <w:szCs w:val="24"/>
              </w:rPr>
            </w:pPr>
            <w:r w:rsidRPr="0014732E">
              <w:rPr>
                <w:rFonts w:ascii="Times New Roman" w:hAnsi="Times New Roman" w:cs="Times New Roman"/>
                <w:sz w:val="24"/>
                <w:szCs w:val="24"/>
              </w:rPr>
              <w:t xml:space="preserve">16mg/dygn </w:t>
            </w:r>
          </w:p>
          <w:p w:rsidR="007111F5" w:rsidRDefault="007111F5" w:rsidP="0014732E">
            <w:pPr>
              <w:rPr>
                <w:rFonts w:ascii="Times New Roman" w:hAnsi="Times New Roman" w:cs="Times New Roman"/>
                <w:sz w:val="24"/>
                <w:szCs w:val="24"/>
              </w:rPr>
            </w:pPr>
          </w:p>
        </w:tc>
      </w:tr>
    </w:tbl>
    <w:p w:rsidR="002B3958" w:rsidRDefault="002B3958" w:rsidP="0014732E">
      <w:pPr>
        <w:rPr>
          <w:rFonts w:ascii="Times New Roman" w:hAnsi="Times New Roman" w:cs="Times New Roman"/>
          <w:sz w:val="24"/>
          <w:szCs w:val="24"/>
        </w:rPr>
      </w:pPr>
    </w:p>
    <w:p w:rsidR="0014732E" w:rsidRPr="0014732E" w:rsidRDefault="0014732E" w:rsidP="0014732E">
      <w:pPr>
        <w:rPr>
          <w:rFonts w:ascii="Times New Roman" w:hAnsi="Times New Roman" w:cs="Times New Roman"/>
          <w:sz w:val="24"/>
          <w:szCs w:val="24"/>
        </w:rPr>
      </w:pPr>
    </w:p>
    <w:p w:rsidR="00671ADE" w:rsidRDefault="0014732E" w:rsidP="00671ADE">
      <w:pPr>
        <w:pStyle w:val="Rubrik2"/>
      </w:pPr>
      <w:r w:rsidRPr="0014732E">
        <w:t xml:space="preserve">Användning av subkutan läkemedelspump i palliativ vård vid Covid-19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Vid palliativ vård i livets slutskede vid Covid-19 kan det finnas behov av att ge läkemedel kontinuerligt subkutant. Ett sätt att göra detta är med en subkutan läkemedelspump. </w:t>
      </w:r>
    </w:p>
    <w:p w:rsidR="00671ADE" w:rsidRPr="00671ADE" w:rsidRDefault="0014732E" w:rsidP="00671ADE">
      <w:pPr>
        <w:rPr>
          <w:rFonts w:ascii="Times New Roman" w:hAnsi="Times New Roman" w:cs="Times New Roman"/>
          <w:sz w:val="24"/>
          <w:szCs w:val="24"/>
          <w:u w:val="single"/>
        </w:rPr>
      </w:pPr>
      <w:r w:rsidRPr="00671ADE">
        <w:rPr>
          <w:rFonts w:ascii="Times New Roman" w:hAnsi="Times New Roman" w:cs="Times New Roman"/>
          <w:sz w:val="24"/>
          <w:szCs w:val="24"/>
          <w:u w:val="single"/>
        </w:rPr>
        <w:t>Indikationer för subkutan pumpbehandling</w:t>
      </w:r>
      <w:r w:rsidR="00671ADE">
        <w:rPr>
          <w:rFonts w:ascii="Times New Roman" w:hAnsi="Times New Roman" w:cs="Times New Roman"/>
          <w:sz w:val="24"/>
          <w:szCs w:val="24"/>
          <w:u w:val="single"/>
        </w:rPr>
        <w:t>:</w:t>
      </w:r>
    </w:p>
    <w:p w:rsidR="00671ADE" w:rsidRPr="00671ADE" w:rsidRDefault="0014732E" w:rsidP="00671ADE">
      <w:pPr>
        <w:pStyle w:val="Liststycke"/>
        <w:numPr>
          <w:ilvl w:val="0"/>
          <w:numId w:val="3"/>
        </w:numPr>
        <w:rPr>
          <w:rFonts w:ascii="Times New Roman" w:hAnsi="Times New Roman" w:cs="Times New Roman"/>
          <w:sz w:val="24"/>
          <w:szCs w:val="24"/>
        </w:rPr>
      </w:pPr>
      <w:r w:rsidRPr="00671ADE">
        <w:rPr>
          <w:rFonts w:ascii="Times New Roman" w:hAnsi="Times New Roman" w:cs="Times New Roman"/>
          <w:sz w:val="24"/>
          <w:szCs w:val="24"/>
        </w:rPr>
        <w:t xml:space="preserve">Patienten kan inte ta sina symtomlindrande mediciner peroral längre </w:t>
      </w:r>
    </w:p>
    <w:p w:rsidR="00671ADE" w:rsidRPr="00671ADE" w:rsidRDefault="0014732E" w:rsidP="00671ADE">
      <w:pPr>
        <w:pStyle w:val="Liststycke"/>
        <w:numPr>
          <w:ilvl w:val="0"/>
          <w:numId w:val="3"/>
        </w:numPr>
        <w:rPr>
          <w:rFonts w:ascii="Times New Roman" w:hAnsi="Times New Roman" w:cs="Times New Roman"/>
          <w:sz w:val="24"/>
          <w:szCs w:val="24"/>
        </w:rPr>
      </w:pPr>
      <w:r w:rsidRPr="00671ADE">
        <w:rPr>
          <w:rFonts w:ascii="Times New Roman" w:hAnsi="Times New Roman" w:cs="Times New Roman"/>
          <w:sz w:val="24"/>
          <w:szCs w:val="24"/>
        </w:rPr>
        <w:t xml:space="preserve">Patienten kräks upp sina symtomlindrande perorala mediciner </w:t>
      </w:r>
    </w:p>
    <w:p w:rsidR="0014732E" w:rsidRDefault="0014732E" w:rsidP="00671ADE">
      <w:pPr>
        <w:pStyle w:val="Liststycke"/>
        <w:numPr>
          <w:ilvl w:val="0"/>
          <w:numId w:val="3"/>
        </w:numPr>
        <w:rPr>
          <w:rFonts w:ascii="Times New Roman" w:hAnsi="Times New Roman" w:cs="Times New Roman"/>
          <w:sz w:val="24"/>
          <w:szCs w:val="24"/>
        </w:rPr>
      </w:pPr>
      <w:r w:rsidRPr="00671ADE">
        <w:rPr>
          <w:rFonts w:ascii="Times New Roman" w:hAnsi="Times New Roman" w:cs="Times New Roman"/>
          <w:sz w:val="24"/>
          <w:szCs w:val="24"/>
        </w:rPr>
        <w:t xml:space="preserve">Patienten är i behov av upprepade vid behovsdoser av symtomlindrande läkemedel </w:t>
      </w:r>
    </w:p>
    <w:p w:rsidR="00671ADE" w:rsidRPr="00671ADE" w:rsidRDefault="00671ADE" w:rsidP="00671ADE">
      <w:pPr>
        <w:pStyle w:val="Liststycke"/>
        <w:numPr>
          <w:ilvl w:val="0"/>
          <w:numId w:val="3"/>
        </w:numPr>
        <w:rPr>
          <w:rFonts w:ascii="Times New Roman" w:hAnsi="Times New Roman" w:cs="Times New Roman"/>
          <w:sz w:val="24"/>
          <w:szCs w:val="24"/>
        </w:rPr>
      </w:pPr>
    </w:p>
    <w:p w:rsidR="00671ADE" w:rsidRDefault="0014732E" w:rsidP="0014732E">
      <w:pPr>
        <w:rPr>
          <w:rFonts w:ascii="Times New Roman" w:hAnsi="Times New Roman" w:cs="Times New Roman"/>
          <w:sz w:val="24"/>
          <w:szCs w:val="24"/>
        </w:rPr>
      </w:pPr>
      <w:r w:rsidRPr="00671ADE">
        <w:rPr>
          <w:rFonts w:ascii="Times New Roman" w:hAnsi="Times New Roman" w:cs="Times New Roman"/>
          <w:sz w:val="24"/>
          <w:szCs w:val="24"/>
          <w:u w:val="single"/>
        </w:rPr>
        <w:t>Följande läkemedel är fritt blandningsbara med varandra i en subkutan läkemedelspump</w:t>
      </w:r>
      <w:r w:rsidRPr="0014732E">
        <w:rPr>
          <w:rFonts w:ascii="Times New Roman" w:hAnsi="Times New Roman" w:cs="Times New Roman"/>
          <w:sz w:val="24"/>
          <w:szCs w:val="24"/>
        </w:rPr>
        <w:t>:</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 xml:space="preserve">Morfin Injektionsvätska 10 mg/ml </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OxyN</w:t>
      </w:r>
      <w:r w:rsidR="00671ADE" w:rsidRPr="00671ADE">
        <w:rPr>
          <w:rFonts w:ascii="Times New Roman" w:hAnsi="Times New Roman" w:cs="Times New Roman"/>
          <w:sz w:val="24"/>
          <w:szCs w:val="24"/>
        </w:rPr>
        <w:t xml:space="preserve">orm Injektionsvätska 10 mg/ml </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Mida</w:t>
      </w:r>
      <w:r w:rsidR="00671ADE" w:rsidRPr="00671ADE">
        <w:rPr>
          <w:rFonts w:ascii="Times New Roman" w:hAnsi="Times New Roman" w:cs="Times New Roman"/>
          <w:sz w:val="24"/>
          <w:szCs w:val="24"/>
        </w:rPr>
        <w:t xml:space="preserve">zolam Injektionsvätska 10mg/ml </w:t>
      </w:r>
      <w:r w:rsidRPr="00671ADE">
        <w:rPr>
          <w:rFonts w:ascii="Times New Roman" w:hAnsi="Times New Roman" w:cs="Times New Roman"/>
          <w:sz w:val="24"/>
          <w:szCs w:val="24"/>
        </w:rPr>
        <w:t xml:space="preserve"> </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Busco</w:t>
      </w:r>
      <w:r w:rsidR="00671ADE" w:rsidRPr="00671ADE">
        <w:rPr>
          <w:rFonts w:ascii="Times New Roman" w:hAnsi="Times New Roman" w:cs="Times New Roman"/>
          <w:sz w:val="24"/>
          <w:szCs w:val="24"/>
        </w:rPr>
        <w:t xml:space="preserve">pan   Injektionsvätska 20mg/ml </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H</w:t>
      </w:r>
      <w:r w:rsidR="00671ADE" w:rsidRPr="00671ADE">
        <w:rPr>
          <w:rFonts w:ascii="Times New Roman" w:hAnsi="Times New Roman" w:cs="Times New Roman"/>
          <w:sz w:val="24"/>
          <w:szCs w:val="24"/>
        </w:rPr>
        <w:t>aldol Injektionsvätska 5 mg/ml</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Prim</w:t>
      </w:r>
      <w:r w:rsidR="00671ADE" w:rsidRPr="00671ADE">
        <w:rPr>
          <w:rFonts w:ascii="Times New Roman" w:hAnsi="Times New Roman" w:cs="Times New Roman"/>
          <w:sz w:val="24"/>
          <w:szCs w:val="24"/>
        </w:rPr>
        <w:t>peran Injektionsvätska 5 mg/ml</w:t>
      </w:r>
    </w:p>
    <w:p w:rsidR="00671AD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Robin</w:t>
      </w:r>
      <w:r w:rsidR="00671ADE" w:rsidRPr="00671ADE">
        <w:rPr>
          <w:rFonts w:ascii="Times New Roman" w:hAnsi="Times New Roman" w:cs="Times New Roman"/>
          <w:sz w:val="24"/>
          <w:szCs w:val="24"/>
        </w:rPr>
        <w:t xml:space="preserve">ul Injektionsvätska 0,2mg/ml  </w:t>
      </w:r>
    </w:p>
    <w:p w:rsidR="0014732E" w:rsidRPr="00671ADE" w:rsidRDefault="0014732E" w:rsidP="00671ADE">
      <w:pPr>
        <w:pStyle w:val="Liststycke"/>
        <w:numPr>
          <w:ilvl w:val="0"/>
          <w:numId w:val="4"/>
        </w:numPr>
        <w:rPr>
          <w:rFonts w:ascii="Times New Roman" w:hAnsi="Times New Roman" w:cs="Times New Roman"/>
          <w:sz w:val="24"/>
          <w:szCs w:val="24"/>
        </w:rPr>
      </w:pPr>
      <w:r w:rsidRPr="00671ADE">
        <w:rPr>
          <w:rFonts w:ascii="Times New Roman" w:hAnsi="Times New Roman" w:cs="Times New Roman"/>
          <w:sz w:val="24"/>
          <w:szCs w:val="24"/>
        </w:rPr>
        <w:t xml:space="preserve">Bricanyl Injektionsvätska 0,5mg/ml </w:t>
      </w:r>
    </w:p>
    <w:p w:rsidR="00671ADE" w:rsidRPr="0014732E" w:rsidRDefault="00671ADE" w:rsidP="0014732E">
      <w:pPr>
        <w:rPr>
          <w:rFonts w:ascii="Times New Roman" w:hAnsi="Times New Roman" w:cs="Times New Roman"/>
          <w:sz w:val="24"/>
          <w:szCs w:val="24"/>
        </w:rPr>
      </w:pPr>
    </w:p>
    <w:p w:rsidR="00671ADE" w:rsidRDefault="0014732E" w:rsidP="0014732E">
      <w:pPr>
        <w:rPr>
          <w:rFonts w:ascii="Times New Roman" w:hAnsi="Times New Roman" w:cs="Times New Roman"/>
          <w:sz w:val="24"/>
          <w:szCs w:val="24"/>
        </w:rPr>
      </w:pPr>
      <w:r w:rsidRPr="00671ADE">
        <w:rPr>
          <w:rFonts w:ascii="Times New Roman" w:hAnsi="Times New Roman" w:cs="Times New Roman"/>
          <w:sz w:val="24"/>
          <w:szCs w:val="24"/>
          <w:u w:val="single"/>
        </w:rPr>
        <w:t>Följande läkemedel är INTE fritt blandningsbara med ovanstående läkemedel eller med varandra. Skall dessa läkemedel användas måste de administreras separat i en egen läkemedelspump:</w:t>
      </w:r>
      <w:r w:rsidRPr="0014732E">
        <w:rPr>
          <w:rFonts w:ascii="Times New Roman" w:hAnsi="Times New Roman" w:cs="Times New Roman"/>
          <w:sz w:val="24"/>
          <w:szCs w:val="24"/>
        </w:rPr>
        <w:t xml:space="preserve"> • </w:t>
      </w:r>
    </w:p>
    <w:p w:rsidR="00671ADE" w:rsidRPr="00671ADE" w:rsidRDefault="0014732E" w:rsidP="00671ADE">
      <w:pPr>
        <w:pStyle w:val="Liststycke"/>
        <w:numPr>
          <w:ilvl w:val="0"/>
          <w:numId w:val="5"/>
        </w:numPr>
        <w:rPr>
          <w:rFonts w:ascii="Times New Roman" w:hAnsi="Times New Roman" w:cs="Times New Roman"/>
          <w:sz w:val="24"/>
          <w:szCs w:val="24"/>
        </w:rPr>
      </w:pPr>
      <w:r w:rsidRPr="00671ADE">
        <w:rPr>
          <w:rFonts w:ascii="Times New Roman" w:hAnsi="Times New Roman" w:cs="Times New Roman"/>
          <w:sz w:val="24"/>
          <w:szCs w:val="24"/>
        </w:rPr>
        <w:t>Tora</w:t>
      </w:r>
      <w:r w:rsidR="00671ADE" w:rsidRPr="00671ADE">
        <w:rPr>
          <w:rFonts w:ascii="Times New Roman" w:hAnsi="Times New Roman" w:cs="Times New Roman"/>
          <w:sz w:val="24"/>
          <w:szCs w:val="24"/>
        </w:rPr>
        <w:t xml:space="preserve">dol Injektionsvätska 30 mg/ml </w:t>
      </w:r>
    </w:p>
    <w:p w:rsidR="00671ADE" w:rsidRPr="00671ADE" w:rsidRDefault="0014732E" w:rsidP="00671ADE">
      <w:pPr>
        <w:pStyle w:val="Liststycke"/>
        <w:numPr>
          <w:ilvl w:val="0"/>
          <w:numId w:val="5"/>
        </w:numPr>
        <w:rPr>
          <w:rFonts w:ascii="Times New Roman" w:hAnsi="Times New Roman" w:cs="Times New Roman"/>
          <w:sz w:val="24"/>
          <w:szCs w:val="24"/>
        </w:rPr>
      </w:pPr>
      <w:r w:rsidRPr="00671ADE">
        <w:rPr>
          <w:rFonts w:ascii="Times New Roman" w:hAnsi="Times New Roman" w:cs="Times New Roman"/>
          <w:sz w:val="24"/>
          <w:szCs w:val="24"/>
        </w:rPr>
        <w:t>Dynas</w:t>
      </w:r>
      <w:r w:rsidR="00671ADE" w:rsidRPr="00671ADE">
        <w:rPr>
          <w:rFonts w:ascii="Times New Roman" w:hAnsi="Times New Roman" w:cs="Times New Roman"/>
          <w:sz w:val="24"/>
          <w:szCs w:val="24"/>
        </w:rPr>
        <w:t xml:space="preserve">tat Injektionsvätska 40 mg/ml </w:t>
      </w:r>
    </w:p>
    <w:p w:rsidR="0014732E" w:rsidRPr="00671ADE" w:rsidRDefault="0014732E" w:rsidP="00671ADE">
      <w:pPr>
        <w:pStyle w:val="Liststycke"/>
        <w:numPr>
          <w:ilvl w:val="0"/>
          <w:numId w:val="5"/>
        </w:numPr>
        <w:rPr>
          <w:rFonts w:ascii="Times New Roman" w:hAnsi="Times New Roman" w:cs="Times New Roman"/>
          <w:sz w:val="24"/>
          <w:szCs w:val="24"/>
        </w:rPr>
      </w:pPr>
      <w:r w:rsidRPr="00671ADE">
        <w:rPr>
          <w:rFonts w:ascii="Times New Roman" w:hAnsi="Times New Roman" w:cs="Times New Roman"/>
          <w:sz w:val="24"/>
          <w:szCs w:val="24"/>
        </w:rPr>
        <w:t xml:space="preserve">Furix Injektionsvätska 10 mg/ml </w:t>
      </w:r>
    </w:p>
    <w:p w:rsidR="00671ADE" w:rsidRDefault="00671ADE" w:rsidP="0014732E">
      <w:pPr>
        <w:rPr>
          <w:rFonts w:ascii="Times New Roman" w:hAnsi="Times New Roman" w:cs="Times New Roman"/>
          <w:sz w:val="24"/>
          <w:szCs w:val="24"/>
        </w:rPr>
      </w:pP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Natriumklorid är alltid </w:t>
      </w:r>
      <w:r w:rsidR="00671ADE">
        <w:rPr>
          <w:rFonts w:ascii="Times New Roman" w:hAnsi="Times New Roman" w:cs="Times New Roman"/>
          <w:sz w:val="24"/>
          <w:szCs w:val="24"/>
        </w:rPr>
        <w:t>blandbart med alla de läkemedel</w:t>
      </w:r>
      <w:r w:rsidRPr="0014732E">
        <w:rPr>
          <w:rFonts w:ascii="Times New Roman" w:hAnsi="Times New Roman" w:cs="Times New Roman"/>
          <w:sz w:val="24"/>
          <w:szCs w:val="24"/>
        </w:rPr>
        <w:t xml:space="preserve"> som här är beskrivna att de kan ges i en</w:t>
      </w:r>
      <w:r w:rsidR="00671ADE">
        <w:rPr>
          <w:rFonts w:ascii="Times New Roman" w:hAnsi="Times New Roman" w:cs="Times New Roman"/>
          <w:sz w:val="24"/>
          <w:szCs w:val="24"/>
        </w:rPr>
        <w:t xml:space="preserve"> </w:t>
      </w:r>
      <w:r w:rsidRPr="0014732E">
        <w:rPr>
          <w:rFonts w:ascii="Times New Roman" w:hAnsi="Times New Roman" w:cs="Times New Roman"/>
          <w:sz w:val="24"/>
          <w:szCs w:val="24"/>
        </w:rPr>
        <w:t xml:space="preserve">subkutan läkemedelspump. </w:t>
      </w:r>
    </w:p>
    <w:p w:rsidR="0014732E" w:rsidRPr="0014732E" w:rsidRDefault="0014732E" w:rsidP="0014732E">
      <w:pPr>
        <w:rPr>
          <w:rFonts w:ascii="Times New Roman" w:hAnsi="Times New Roman" w:cs="Times New Roman"/>
          <w:sz w:val="24"/>
          <w:szCs w:val="24"/>
        </w:rPr>
      </w:pPr>
      <w:r w:rsidRPr="0014732E">
        <w:rPr>
          <w:rFonts w:ascii="Times New Roman" w:hAnsi="Times New Roman" w:cs="Times New Roman"/>
          <w:sz w:val="24"/>
          <w:szCs w:val="24"/>
        </w:rPr>
        <w:t xml:space="preserve"> </w:t>
      </w:r>
    </w:p>
    <w:p w:rsidR="00671ADE" w:rsidRPr="000B588E" w:rsidRDefault="00671ADE" w:rsidP="00671ADE">
      <w:pPr>
        <w:pStyle w:val="Rubrik2"/>
      </w:pPr>
    </w:p>
    <w:p w:rsidR="0014732E" w:rsidRPr="0014732E" w:rsidRDefault="0014732E" w:rsidP="00671ADE">
      <w:pPr>
        <w:pStyle w:val="Rubrik2"/>
        <w:rPr>
          <w:lang w:val="en-US"/>
        </w:rPr>
      </w:pPr>
      <w:r w:rsidRPr="0014732E">
        <w:rPr>
          <w:lang w:val="en-US"/>
        </w:rPr>
        <w:t xml:space="preserve">Referenser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 xml:space="preserve">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Rosoff A Central Role for Palliative Car</w:t>
      </w:r>
      <w:r w:rsidR="000B588E">
        <w:rPr>
          <w:rFonts w:ascii="Times New Roman" w:hAnsi="Times New Roman" w:cs="Times New Roman"/>
          <w:sz w:val="24"/>
          <w:szCs w:val="24"/>
          <w:lang w:val="en-US"/>
        </w:rPr>
        <w:t>e in an Influenza Pandemic 2006</w:t>
      </w:r>
      <w:bookmarkStart w:id="0" w:name="_GoBack"/>
      <w:bookmarkEnd w:id="0"/>
      <w:r w:rsidRPr="0014732E">
        <w:rPr>
          <w:rFonts w:ascii="Times New Roman" w:hAnsi="Times New Roman" w:cs="Times New Roman"/>
          <w:sz w:val="24"/>
          <w:szCs w:val="24"/>
          <w:lang w:val="en-US"/>
        </w:rPr>
        <w:t xml:space="preserve">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rPr>
        <w:t xml:space="preserve">Zhou F, Yu T, Du R, Fan G, Liu Y, Liu Z et al. </w:t>
      </w:r>
      <w:r w:rsidRPr="0014732E">
        <w:rPr>
          <w:rFonts w:ascii="Times New Roman" w:hAnsi="Times New Roman" w:cs="Times New Roman"/>
          <w:sz w:val="24"/>
          <w:szCs w:val="24"/>
          <w:lang w:val="en-US"/>
        </w:rPr>
        <w:t xml:space="preserve">Clinical course and risk factors for mortality of adult inpatients with COVID-19 in Wuhan, China: a retrospective study. Lancet, 2020. doi: 1016/S01406736(20)30566-3.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 xml:space="preserve">Zhonghua 2020 Feb 20;17(0) (Chinese) [Expert consensus on preventing nosocomial transmission during respiratory care for critically ill patients infected by 2019 novel coronavirus pneumonia].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 xml:space="preserve">WHO Clinical management of severe acute respiratory infection (SARI) when COVID-19 disease is suspected Interim guidance 13 March 2020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 xml:space="preserve">Wu Chaomin JAMA Risk Factors Associated With Acute Respiratory Distress Syndrome and Death in Patients With Coronavirus Disease 2019 Pneumonia in Wuhan, China </w:t>
      </w:r>
    </w:p>
    <w:p w:rsidR="0014732E" w:rsidRPr="0014732E" w:rsidRDefault="0014732E" w:rsidP="0014732E">
      <w:pPr>
        <w:rPr>
          <w:rFonts w:ascii="Times New Roman" w:hAnsi="Times New Roman" w:cs="Times New Roman"/>
          <w:sz w:val="24"/>
          <w:szCs w:val="24"/>
          <w:lang w:val="en-US"/>
        </w:rPr>
      </w:pPr>
      <w:r w:rsidRPr="0014732E">
        <w:rPr>
          <w:rFonts w:ascii="Times New Roman" w:hAnsi="Times New Roman" w:cs="Times New Roman"/>
          <w:sz w:val="24"/>
          <w:szCs w:val="24"/>
          <w:lang w:val="en-US"/>
        </w:rPr>
        <w:t>Day M. Covid-19: ibuprofen should not be used for managing symptoms, say doctors and scientists BMJ 2020;368:m1086 doi: 10.1136/bmj.m1086</w:t>
      </w:r>
    </w:p>
    <w:sectPr w:rsidR="0014732E" w:rsidRPr="001473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89" w:rsidRDefault="004E0189" w:rsidP="004E0189">
      <w:pPr>
        <w:spacing w:after="0" w:line="240" w:lineRule="auto"/>
      </w:pPr>
      <w:r>
        <w:separator/>
      </w:r>
    </w:p>
  </w:endnote>
  <w:endnote w:type="continuationSeparator" w:id="0">
    <w:p w:rsidR="004E0189" w:rsidRDefault="004E0189" w:rsidP="004E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89" w:rsidRDefault="004E0189">
    <w:pPr>
      <w:pStyle w:val="Sidfo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89" w:rsidRDefault="004E0189">
    <w:pPr>
      <w:pStyle w:val="Sidfo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89" w:rsidRDefault="004E0189">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89" w:rsidRDefault="004E0189" w:rsidP="004E0189">
      <w:pPr>
        <w:spacing w:after="0" w:line="240" w:lineRule="auto"/>
      </w:pPr>
      <w:r>
        <w:separator/>
      </w:r>
    </w:p>
  </w:footnote>
  <w:footnote w:type="continuationSeparator" w:id="0">
    <w:p w:rsidR="004E0189" w:rsidRDefault="004E0189" w:rsidP="004E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89" w:rsidRDefault="004E0189">
    <w:pPr>
      <w:pStyle w:val="Sidhuvu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465375"/>
      <w:docPartObj>
        <w:docPartGallery w:val="Page Numbers (Top of Page)"/>
        <w:docPartUnique/>
      </w:docPartObj>
    </w:sdtPr>
    <w:sdtEndPr/>
    <w:sdtContent>
      <w:p w:rsidR="004E0189" w:rsidRDefault="004E0189">
        <w:pPr>
          <w:pStyle w:val="Sidhuvud"/>
          <w:jc w:val="right"/>
        </w:pPr>
        <w:r>
          <w:fldChar w:fldCharType="begin"/>
        </w:r>
        <w:r>
          <w:instrText>PAGE   \* MERGEFORMAT</w:instrText>
        </w:r>
        <w:r>
          <w:fldChar w:fldCharType="separate"/>
        </w:r>
        <w:r w:rsidR="000B588E">
          <w:rPr>
            <w:noProof/>
          </w:rPr>
          <w:t>5</w:t>
        </w:r>
        <w:r>
          <w:fldChar w:fldCharType="end"/>
        </w:r>
      </w:p>
    </w:sdtContent>
  </w:sdt>
  <w:p w:rsidR="004E0189" w:rsidRDefault="004E0189">
    <w:pPr>
      <w:pStyle w:val="Sidhuvu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189" w:rsidRDefault="004E0189">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04F"/>
    <w:multiLevelType w:val="hybridMultilevel"/>
    <w:tmpl w:val="9552FC48"/>
    <w:lvl w:ilvl="0" w:tplc="970E914E">
      <w:start w:val="1"/>
      <w:numFmt w:val="bullet"/>
      <w:lvlText w:val=""/>
      <w:lvlJc w:val="left"/>
      <w:pPr>
        <w:ind w:left="420" w:hanging="360"/>
      </w:pPr>
      <w:rPr>
        <w:rFonts w:ascii="Symbol" w:eastAsiaTheme="minorHAnsi" w:hAnsi="Symbol" w:cs="Times New Roman" w:hint="default"/>
      </w:rPr>
    </w:lvl>
    <w:lvl w:ilvl="1" w:tplc="D9F2A8EC">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1D5C8A"/>
    <w:multiLevelType w:val="hybridMultilevel"/>
    <w:tmpl w:val="EAE4C18A"/>
    <w:lvl w:ilvl="0" w:tplc="970E914E">
      <w:start w:val="1"/>
      <w:numFmt w:val="bullet"/>
      <w:lvlText w:val=""/>
      <w:lvlJc w:val="left"/>
      <w:pPr>
        <w:ind w:left="420" w:hanging="360"/>
      </w:pPr>
      <w:rPr>
        <w:rFonts w:ascii="Symbol" w:eastAsiaTheme="minorHAnsi" w:hAnsi="Symbol"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19284CE4"/>
    <w:multiLevelType w:val="hybridMultilevel"/>
    <w:tmpl w:val="06C86500"/>
    <w:lvl w:ilvl="0" w:tplc="970E914E">
      <w:start w:val="1"/>
      <w:numFmt w:val="bullet"/>
      <w:lvlText w:val=""/>
      <w:lvlJc w:val="left"/>
      <w:pPr>
        <w:ind w:left="4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76537F"/>
    <w:multiLevelType w:val="hybridMultilevel"/>
    <w:tmpl w:val="E56C2504"/>
    <w:lvl w:ilvl="0" w:tplc="970E914E">
      <w:start w:val="1"/>
      <w:numFmt w:val="bullet"/>
      <w:lvlText w:val=""/>
      <w:lvlJc w:val="left"/>
      <w:pPr>
        <w:ind w:left="4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FC2F14"/>
    <w:multiLevelType w:val="hybridMultilevel"/>
    <w:tmpl w:val="932EE51E"/>
    <w:lvl w:ilvl="0" w:tplc="970E914E">
      <w:start w:val="1"/>
      <w:numFmt w:val="bullet"/>
      <w:lvlText w:val=""/>
      <w:lvlJc w:val="left"/>
      <w:pPr>
        <w:ind w:left="4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D8"/>
    <w:rsid w:val="000B588E"/>
    <w:rsid w:val="000E17D8"/>
    <w:rsid w:val="0014732E"/>
    <w:rsid w:val="002B3958"/>
    <w:rsid w:val="002C7846"/>
    <w:rsid w:val="004E0189"/>
    <w:rsid w:val="00671ADE"/>
    <w:rsid w:val="007111F5"/>
    <w:rsid w:val="00971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B963"/>
  <w15:chartTrackingRefBased/>
  <w15:docId w15:val="{3880C851-D0B0-40B3-8ACE-7F7CD292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1473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473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1473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732E"/>
    <w:rPr>
      <w:rFonts w:asciiTheme="majorHAnsi" w:eastAsiaTheme="majorEastAsia" w:hAnsiTheme="majorHAnsi" w:cstheme="majorBidi"/>
      <w:color w:val="2E74B5" w:themeColor="accent1" w:themeShade="BF"/>
      <w:sz w:val="32"/>
      <w:szCs w:val="32"/>
    </w:rPr>
  </w:style>
  <w:style w:type="paragraph" w:styleId="Rubrik">
    <w:name w:val="Title"/>
    <w:basedOn w:val="Normal"/>
    <w:next w:val="Normal"/>
    <w:link w:val="RubrikChar"/>
    <w:uiPriority w:val="10"/>
    <w:qFormat/>
    <w:rsid w:val="001473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4732E"/>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14732E"/>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14732E"/>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39"/>
    <w:rsid w:val="002B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71ADE"/>
    <w:pPr>
      <w:ind w:left="720"/>
      <w:contextualSpacing/>
    </w:pPr>
  </w:style>
  <w:style w:type="paragraph" w:styleId="Sidhuvud">
    <w:name w:val="header"/>
    <w:basedOn w:val="Normal"/>
    <w:link w:val="SidhuvudChar"/>
    <w:uiPriority w:val="99"/>
    <w:unhideWhenUsed/>
    <w:rsid w:val="004E01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E0189"/>
  </w:style>
  <w:style w:type="paragraph" w:styleId="Sidfot">
    <w:name w:val="footer"/>
    <w:basedOn w:val="Normal"/>
    <w:link w:val="SidfotChar"/>
    <w:uiPriority w:val="99"/>
    <w:unhideWhenUsed/>
    <w:rsid w:val="004E01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E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1650</Words>
  <Characters>8747</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Maj</dc:creator>
  <cp:keywords/>
  <dc:description/>
  <cp:lastModifiedBy>Rom Maj</cp:lastModifiedBy>
  <cp:revision>6</cp:revision>
  <dcterms:created xsi:type="dcterms:W3CDTF">2020-03-30T09:06:00Z</dcterms:created>
  <dcterms:modified xsi:type="dcterms:W3CDTF">2020-03-30T09:43:00Z</dcterms:modified>
</cp:coreProperties>
</file>